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color w:val="000000"/>
          <w:sz w:val="36"/>
          <w:szCs w:val="36"/>
        </w:rPr>
      </w:pPr>
      <w:bookmarkStart w:colFirst="0" w:colLast="0" w:name="_gjdgxs" w:id="0"/>
      <w:bookmarkEnd w:id="0"/>
      <w:r w:rsidDel="00000000" w:rsidR="00000000" w:rsidRPr="00000000">
        <w:rPr>
          <w:rFonts w:ascii="Arial" w:cs="Arial" w:eastAsia="Arial" w:hAnsi="Arial"/>
          <w:b w:val="1"/>
          <w:bCs w:val="1"/>
          <w:color w:val="7f7f7f"/>
          <w:sz w:val="28"/>
          <w:szCs w:val="28"/>
        </w:rPr>
        <mc:AlternateContent>
          <mc:Choice Requires="wpg">
            <w:drawing>
              <wp:inline distB="0" distT="0" distL="0" distR="0">
                <wp:extent cx="4443258" cy="1595016"/>
                <wp:effectExtent b="0" l="0" r="0" t="0"/>
                <wp:docPr id="2" name=""/>
                <a:graphic>
                  <a:graphicData uri="http://schemas.microsoft.com/office/word/2010/wordprocessingGroup">
                    <wpg:wgp>
                      <wpg:cNvGrpSpPr/>
                      <wpg:grpSpPr>
                        <a:xfrm>
                          <a:off x="2024950" y="2391375"/>
                          <a:ext cx="4443258" cy="1595016"/>
                          <a:chOff x="2024950" y="2391375"/>
                          <a:chExt cx="5778425" cy="1774975"/>
                        </a:xfrm>
                      </wpg:grpSpPr>
                      <wps:wsp>
                        <wps:cNvSpPr/>
                        <wps:cNvPr id="3" name="Shape 3"/>
                        <wps:spPr>
                          <a:xfrm>
                            <a:off x="2029730" y="2400913"/>
                            <a:ext cx="3139500" cy="175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7 E Unit Plan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Stream Remediation with DBAIT Lures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Teacher(s): Jenny Kuwahara</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Daniel Pavao,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John Sandvig</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School: Mililani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HS</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Leilehua HS</w:t>
                              </w:r>
                            </w:p>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Grades or Subjects: Marine Science, Environmental Science, Engineering Tech 1/2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Time: 1-2 weeks</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pic:pic>
                        <pic:nvPicPr>
                          <pic:cNvPr id="4" name="Shape 4"/>
                          <pic:cNvPicPr preferRelativeResize="0"/>
                        </pic:nvPicPr>
                        <pic:blipFill>
                          <a:blip r:embed="rId6">
                            <a:alphaModFix/>
                          </a:blip>
                          <a:stretch>
                            <a:fillRect/>
                          </a:stretch>
                        </pic:blipFill>
                        <pic:spPr>
                          <a:xfrm>
                            <a:off x="5169227" y="2400921"/>
                            <a:ext cx="2624608" cy="1755900"/>
                          </a:xfrm>
                          <a:prstGeom prst="rect">
                            <a:avLst/>
                          </a:prstGeom>
                          <a:noFill/>
                          <a:ln cap="flat" cmpd="sng" w="9525">
                            <a:solidFill>
                              <a:srgbClr val="000000"/>
                            </a:solidFill>
                            <a:prstDash val="solid"/>
                            <a:round/>
                            <a:headEnd len="sm" w="sm" type="none"/>
                            <a:tailEnd len="sm" w="sm" type="none"/>
                          </a:ln>
                        </pic:spPr>
                      </pic:pic>
                    </wpg:wgp>
                  </a:graphicData>
                </a:graphic>
              </wp:inline>
            </w:drawing>
          </mc:Choice>
          <mc:Fallback>
            <w:drawing>
              <wp:inline distB="0" distT="0" distL="0" distR="0">
                <wp:extent cx="4443258" cy="1595016"/>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43258" cy="15950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24"/>
          <w:szCs w:val="24"/>
        </w:rPr>
      </w:pPr>
      <w:bookmarkStart w:colFirst="0" w:colLast="0" w:name="_gjdgxs" w:id="0"/>
      <w:bookmarkEnd w:id="0"/>
      <w:hyperlink r:id="rId8">
        <w:r w:rsidDel="00000000" w:rsidR="00000000" w:rsidRPr="00000000">
          <w:rPr>
            <w:rFonts w:ascii="Times New Roman" w:cs="Times New Roman" w:eastAsia="Times New Roman" w:hAnsi="Times New Roman"/>
            <w:b w:val="1"/>
            <w:bCs w:val="1"/>
            <w:color w:val="0563c1"/>
            <w:sz w:val="24"/>
            <w:szCs w:val="24"/>
            <w:u w:val="single"/>
            <w:rtl w:val="0"/>
          </w:rPr>
          <w:t xml:space="preserve">NGSS Standards</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HS-LS2-7.</w:t>
      </w:r>
      <w:r w:rsidDel="00000000" w:rsidR="00000000" w:rsidRPr="00000000">
        <w:rPr>
          <w:rFonts w:ascii="Times New Roman" w:cs="Times New Roman" w:eastAsia="Times New Roman" w:hAnsi="Times New Roman"/>
          <w:rtl w:val="0"/>
        </w:rPr>
        <w:t xml:space="preserve">Design, Evaluate, and Refine a solution for reducing the impacts of human activities on the environment and biodiversity.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Fonts w:ascii="Times New Roman" w:cs="Times New Roman" w:eastAsia="Times New Roman" w:hAnsi="Times New Roman"/>
          <w:b w:val="1"/>
          <w:bCs w:val="1"/>
          <w:rtl w:val="0"/>
        </w:rPr>
        <w:t xml:space="preserve">HS-LS4-1.</w:t>
      </w:r>
      <w:r w:rsidDel="00000000" w:rsidR="00000000" w:rsidRPr="00000000">
        <w:rPr>
          <w:rFonts w:ascii="Times New Roman" w:cs="Times New Roman" w:eastAsia="Times New Roman" w:hAnsi="Times New Roman"/>
          <w:rtl w:val="0"/>
        </w:rPr>
        <w:t xml:space="preserve"> Communicate scientific information that common ancestry and biological evolution are supported by multiple lines of empirical evidence.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NGSS Crosscutting Concept 2. Cause and effect:</w:t>
      </w:r>
      <w:r w:rsidDel="00000000" w:rsidR="00000000" w:rsidRPr="00000000">
        <w:rPr>
          <w:rFonts w:ascii="Times New Roman" w:cs="Times New Roman" w:eastAsia="Times New Roman" w:hAnsi="Times New Roman"/>
          <w:rtl w:val="0"/>
        </w:rPr>
        <w:t xml:space="preserve"> Mechanism and explanation.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NGSS Crosscutting Concept 4. Systems and system models. </w:t>
      </w:r>
      <w:r w:rsidDel="00000000" w:rsidR="00000000" w:rsidRPr="00000000">
        <w:rPr>
          <w:rFonts w:ascii="Times New Roman" w:cs="Times New Roman" w:eastAsia="Times New Roman" w:hAnsi="Times New Roman"/>
          <w:rtl w:val="0"/>
        </w:rPr>
        <w:t xml:space="preserve">Defining the system under study—specifying its boundaries and making explicit a model of that system—provides tools for understanding and testing ideas that are applicable throughout science and engineering.</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8">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b w:val="1"/>
            <w:bCs w:val="1"/>
            <w:color w:val="0563c1"/>
            <w:u w:val="single"/>
            <w:rtl w:val="0"/>
          </w:rPr>
          <w:t xml:space="preserve">Na Hopena A‘o</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numPr>
          <w:ilvl w:val="0"/>
          <w:numId w:val="9"/>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1"/>
          <w:bCs w:val="1"/>
          <w:rtl w:val="0"/>
        </w:rPr>
        <w:t xml:space="preserve">trengthened sense of Belonging: </w:t>
      </w:r>
      <w:r w:rsidDel="00000000" w:rsidR="00000000" w:rsidRPr="00000000">
        <w:rPr>
          <w:rFonts w:ascii="Times New Roman" w:cs="Times New Roman" w:eastAsia="Times New Roman" w:hAnsi="Times New Roman"/>
          <w:rtl w:val="0"/>
        </w:rPr>
        <w:t xml:space="preserve">I stand firm in my space with a strong foundation of relationships. A sense of Belonging is demonstrated through an understanding of lineage and place and a connection to past, present, and future. I am able to interact respectfully for the betterment of self and others </w:t>
      </w:r>
    </w:p>
    <w:p w:rsidR="00000000" w:rsidDel="00000000" w:rsidP="00000000" w:rsidRDefault="00000000" w:rsidRPr="00000000" w14:paraId="0000000A">
      <w:pPr>
        <w:numPr>
          <w:ilvl w:val="0"/>
          <w:numId w:val="9"/>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Responsibility:</w:t>
      </w:r>
      <w:r w:rsidDel="00000000" w:rsidR="00000000" w:rsidRPr="00000000">
        <w:rPr>
          <w:rFonts w:ascii="Times New Roman" w:cs="Times New Roman" w:eastAsia="Times New Roman" w:hAnsi="Times New Roman"/>
          <w:rtl w:val="0"/>
        </w:rPr>
        <w:t xml:space="preserve"> I willingly carry my responsibility for self, family, community and the larger society.. </w:t>
      </w:r>
    </w:p>
    <w:p w:rsidR="00000000" w:rsidDel="00000000" w:rsidP="00000000" w:rsidRDefault="00000000" w:rsidRPr="00000000" w14:paraId="0000000B">
      <w:pPr>
        <w:numPr>
          <w:ilvl w:val="0"/>
          <w:numId w:val="9"/>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Hawai‘i:</w:t>
      </w:r>
      <w:r w:rsidDel="00000000" w:rsidR="00000000" w:rsidRPr="00000000">
        <w:rPr>
          <w:rFonts w:ascii="Times New Roman" w:cs="Times New Roman" w:eastAsia="Times New Roman" w:hAnsi="Times New Roman"/>
          <w:rtl w:val="0"/>
        </w:rPr>
        <w:t xml:space="preserve"> I am enriched by the uniqueness of this prized place. A sense of Hawai‘i is demonstrated through an appreciation for its rich history, diversity and indigenous language and culture. I am able to navigate effectively across cultures and communities and be a steward of the homeland.</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the Teacher: Connections to Place and Culture(s):</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lesson, students designs from Lesson #2 will be realized through fabrication of their lures using 3D printing technologies. Students will also be testing the effectiveness of their lures in both artificial conditions as well as in actual fishing environments.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firstLine="720"/>
        <w:rPr>
          <w:b w:val="0"/>
          <w:bCs w:val="0"/>
          <w:sz w:val="22"/>
          <w:szCs w:val="22"/>
        </w:rPr>
      </w:pPr>
      <w:r w:rsidDel="00000000" w:rsidR="00000000" w:rsidRPr="00000000">
        <w:rPr>
          <w:rFonts w:ascii="Times New Roman" w:cs="Times New Roman" w:eastAsia="Times New Roman" w:hAnsi="Times New Roman"/>
          <w:rtl w:val="0"/>
        </w:rPr>
        <w:t xml:space="preserve">Their lure will be evaluated in reference to the target fish species Smallmouth Bass (</w:t>
      </w:r>
      <w:r w:rsidDel="00000000" w:rsidR="00000000" w:rsidRPr="00000000">
        <w:rPr>
          <w:rFonts w:ascii="Times New Roman" w:cs="Times New Roman" w:eastAsia="Times New Roman" w:hAnsi="Times New Roman"/>
          <w:i w:val="1"/>
          <w:iCs w:val="1"/>
          <w:rtl w:val="0"/>
        </w:rPr>
        <w:t xml:space="preserve">Micropterus </w:t>
      </w:r>
      <w:r w:rsidDel="00000000" w:rsidR="00000000" w:rsidRPr="00000000">
        <w:rPr>
          <w:rFonts w:ascii="Times New Roman" w:cs="Times New Roman" w:eastAsia="Times New Roman" w:hAnsi="Times New Roman"/>
          <w:i w:val="1"/>
          <w:iCs w:val="1"/>
          <w:rtl w:val="0"/>
        </w:rPr>
        <w:t xml:space="preserve">dolomieu</w:t>
      </w:r>
      <w:r w:rsidDel="00000000" w:rsidR="00000000" w:rsidRPr="00000000">
        <w:rPr>
          <w:rFonts w:ascii="Times New Roman" w:cs="Times New Roman" w:eastAsia="Times New Roman" w:hAnsi="Times New Roman"/>
          <w:rtl w:val="0"/>
        </w:rPr>
        <w:t xml:space="preserve">) located in the Mānoa Stream in the ahupuaʻa of Waikīkī on the island of Oʻahu. Smallmouth Bass were intentionally brought to reservoirs as sportfish by the state, but were likely moved to streams intentionally by people who wanted the resource closer to home. Additionally, they are considered an invasive species in Hawaiiʻs freshwater streams and disrupt those local food webs by preying upon a wide variety of endemic fish and crustaceans in those environments and, in doing so, often disrupt native species from completing their amphidromous life cycles. Currently, the Smallmouth Bass can be found in freshwater resources on the islands of Oʻahu, Kauaʻi, and Hawaiʻi (“Big Island”). </w:t>
      </w:r>
      <w:r w:rsidDel="00000000" w:rsidR="00000000" w:rsidRPr="00000000">
        <w:rPr>
          <w:rtl w:val="0"/>
        </w:rPr>
      </w:r>
    </w:p>
    <w:p w:rsidR="00000000" w:rsidDel="00000000" w:rsidP="00000000" w:rsidRDefault="00000000" w:rsidRPr="00000000" w14:paraId="00000011">
      <w:pPr>
        <w:pStyle w:val="Heading2"/>
        <w:spacing w:after="280" w:before="280" w:lineRule="auto"/>
        <w:rPr>
          <w:b w:val="0"/>
          <w:bCs w:val="0"/>
          <w:sz w:val="22"/>
          <w:szCs w:val="22"/>
        </w:rPr>
      </w:pPr>
      <w:r w:rsidDel="00000000" w:rsidR="00000000" w:rsidRPr="00000000">
        <w:rPr>
          <w:b w:val="0"/>
          <w:bCs w:val="0"/>
          <w:sz w:val="22"/>
          <w:szCs w:val="22"/>
          <w:rtl w:val="0"/>
        </w:rPr>
        <w:t xml:space="preserve">The </w:t>
      </w:r>
      <w:hyperlink r:id="rId10">
        <w:r w:rsidDel="00000000" w:rsidR="00000000" w:rsidRPr="00000000">
          <w:rPr>
            <w:b w:val="0"/>
            <w:bCs w:val="0"/>
            <w:color w:val="0563c1"/>
            <w:sz w:val="22"/>
            <w:szCs w:val="22"/>
            <w:u w:val="single"/>
            <w:rtl w:val="0"/>
          </w:rPr>
          <w:t xml:space="preserve">7E lesson format</w:t>
        </w:r>
      </w:hyperlink>
      <w:r w:rsidDel="00000000" w:rsidR="00000000" w:rsidRPr="00000000">
        <w:rPr>
          <w:b w:val="0"/>
          <w:bCs w:val="0"/>
          <w:sz w:val="22"/>
          <w:szCs w:val="22"/>
          <w:rtl w:val="0"/>
        </w:rPr>
        <w:t xml:space="preserve"> supports a community of practice that </w:t>
      </w:r>
      <w:r w:rsidDel="00000000" w:rsidR="00000000" w:rsidRPr="00000000">
        <w:rPr>
          <w:b w:val="0"/>
          <w:bCs w:val="0"/>
          <w:i w:val="1"/>
          <w:iCs w:val="1"/>
          <w:sz w:val="22"/>
          <w:szCs w:val="22"/>
          <w:rtl w:val="0"/>
        </w:rPr>
        <w:t xml:space="preserve">elicits </w:t>
      </w:r>
      <w:r w:rsidDel="00000000" w:rsidR="00000000" w:rsidRPr="00000000">
        <w:rPr>
          <w:b w:val="0"/>
          <w:bCs w:val="0"/>
          <w:sz w:val="22"/>
          <w:szCs w:val="22"/>
          <w:rtl w:val="0"/>
        </w:rPr>
        <w:t xml:space="preserve">prior knowledge, </w:t>
      </w:r>
      <w:r w:rsidDel="00000000" w:rsidR="00000000" w:rsidRPr="00000000">
        <w:rPr>
          <w:b w:val="0"/>
          <w:bCs w:val="0"/>
          <w:i w:val="1"/>
          <w:iCs w:val="1"/>
          <w:sz w:val="22"/>
          <w:szCs w:val="22"/>
          <w:rtl w:val="0"/>
        </w:rPr>
        <w:t xml:space="preserve">engages</w:t>
      </w:r>
      <w:r w:rsidDel="00000000" w:rsidR="00000000" w:rsidRPr="00000000">
        <w:rPr>
          <w:b w:val="0"/>
          <w:bCs w:val="0"/>
          <w:sz w:val="22"/>
          <w:szCs w:val="22"/>
          <w:rtl w:val="0"/>
        </w:rPr>
        <w:t xml:space="preserve"> learners in a meaningful topic, </w:t>
      </w:r>
      <w:r w:rsidDel="00000000" w:rsidR="00000000" w:rsidRPr="00000000">
        <w:rPr>
          <w:b w:val="0"/>
          <w:bCs w:val="0"/>
          <w:i w:val="1"/>
          <w:iCs w:val="1"/>
          <w:sz w:val="22"/>
          <w:szCs w:val="22"/>
          <w:rtl w:val="0"/>
        </w:rPr>
        <w:t xml:space="preserve">explores</w:t>
      </w:r>
      <w:r w:rsidDel="00000000" w:rsidR="00000000" w:rsidRPr="00000000">
        <w:rPr>
          <w:b w:val="0"/>
          <w:bCs w:val="0"/>
          <w:sz w:val="22"/>
          <w:szCs w:val="22"/>
          <w:rtl w:val="0"/>
        </w:rPr>
        <w:t xml:space="preserve"> to build new knowledge, </w:t>
      </w:r>
      <w:r w:rsidDel="00000000" w:rsidR="00000000" w:rsidRPr="00000000">
        <w:rPr>
          <w:b w:val="0"/>
          <w:bCs w:val="0"/>
          <w:i w:val="1"/>
          <w:iCs w:val="1"/>
          <w:sz w:val="22"/>
          <w:szCs w:val="22"/>
          <w:rtl w:val="0"/>
        </w:rPr>
        <w:t xml:space="preserve">explains</w:t>
      </w:r>
      <w:r w:rsidDel="00000000" w:rsidR="00000000" w:rsidRPr="00000000">
        <w:rPr>
          <w:b w:val="0"/>
          <w:bCs w:val="0"/>
          <w:sz w:val="22"/>
          <w:szCs w:val="22"/>
          <w:rtl w:val="0"/>
        </w:rPr>
        <w:t xml:space="preserve"> what is learned, </w:t>
      </w:r>
      <w:r w:rsidDel="00000000" w:rsidR="00000000" w:rsidRPr="00000000">
        <w:rPr>
          <w:b w:val="0"/>
          <w:bCs w:val="0"/>
          <w:i w:val="1"/>
          <w:iCs w:val="1"/>
          <w:sz w:val="22"/>
          <w:szCs w:val="22"/>
          <w:rtl w:val="0"/>
        </w:rPr>
        <w:t xml:space="preserve">elaborates</w:t>
      </w:r>
      <w:r w:rsidDel="00000000" w:rsidR="00000000" w:rsidRPr="00000000">
        <w:rPr>
          <w:b w:val="0"/>
          <w:bCs w:val="0"/>
          <w:sz w:val="22"/>
          <w:szCs w:val="22"/>
          <w:rtl w:val="0"/>
        </w:rPr>
        <w:t xml:space="preserve"> through demonstration and discussion, </w:t>
      </w:r>
      <w:r w:rsidDel="00000000" w:rsidR="00000000" w:rsidRPr="00000000">
        <w:rPr>
          <w:b w:val="0"/>
          <w:bCs w:val="0"/>
          <w:i w:val="1"/>
          <w:iCs w:val="1"/>
          <w:sz w:val="22"/>
          <w:szCs w:val="22"/>
          <w:rtl w:val="0"/>
        </w:rPr>
        <w:t xml:space="preserve">extends </w:t>
      </w:r>
      <w:r w:rsidDel="00000000" w:rsidR="00000000" w:rsidRPr="00000000">
        <w:rPr>
          <w:b w:val="0"/>
          <w:bCs w:val="0"/>
          <w:sz w:val="22"/>
          <w:szCs w:val="22"/>
          <w:rtl w:val="0"/>
        </w:rPr>
        <w:t xml:space="preserve">what is learned into the community, and </w:t>
      </w:r>
      <w:r w:rsidDel="00000000" w:rsidR="00000000" w:rsidRPr="00000000">
        <w:rPr>
          <w:b w:val="0"/>
          <w:bCs w:val="0"/>
          <w:i w:val="1"/>
          <w:iCs w:val="1"/>
          <w:sz w:val="22"/>
          <w:szCs w:val="22"/>
          <w:rtl w:val="0"/>
        </w:rPr>
        <w:t xml:space="preserve">evaluates</w:t>
      </w:r>
      <w:r w:rsidDel="00000000" w:rsidR="00000000" w:rsidRPr="00000000">
        <w:rPr>
          <w:b w:val="0"/>
          <w:bCs w:val="0"/>
          <w:sz w:val="22"/>
          <w:szCs w:val="22"/>
          <w:rtl w:val="0"/>
        </w:rPr>
        <w:t xml:space="preserve"> each step to support engaged and authentic learning.  </w:t>
      </w:r>
    </w:p>
    <w:p w:rsidR="00000000" w:rsidDel="00000000" w:rsidP="00000000" w:rsidRDefault="00000000" w:rsidRPr="00000000" w14:paraId="00000012">
      <w:pPr>
        <w:pStyle w:val="Title"/>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Lesson #3 Plan:</w:t>
      </w:r>
    </w:p>
    <w:p w:rsidR="00000000" w:rsidDel="00000000" w:rsidP="00000000" w:rsidRDefault="00000000" w:rsidRPr="00000000" w14:paraId="00000013">
      <w:pPr>
        <w:pStyle w:val="Title"/>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sz w:val="22"/>
          <w:szCs w:val="22"/>
          <w:rtl w:val="0"/>
        </w:rPr>
        <w:t xml:space="preserve">Extend: Applying the biomimicry product in the real world</w:t>
      </w:r>
      <w:r w:rsidDel="00000000" w:rsidR="00000000" w:rsidRPr="00000000">
        <w:rPr>
          <w:rtl w:val="0"/>
        </w:rPr>
      </w:r>
    </w:p>
    <w:p w:rsidR="00000000" w:rsidDel="00000000" w:rsidP="00000000" w:rsidRDefault="00000000" w:rsidRPr="00000000" w14:paraId="00000014">
      <w:pPr>
        <w:pStyle w:val="Heading1"/>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Lesson Focus:</w:t>
      </w:r>
    </w:p>
    <w:p w:rsidR="00000000" w:rsidDel="00000000" w:rsidP="00000000" w:rsidRDefault="00000000" w:rsidRPr="00000000" w14:paraId="00000016">
      <w:pPr>
        <w:numPr>
          <w:ilvl w:val="0"/>
          <w:numId w:val="10"/>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lesson will allow students to fabricate their proposed solution to a real-world problem (usage of a biomimicry-inspired fishing lure for smallmouth bass), with the design’s performance to be tested in-vitro (laboratory performance tests) and in-vivo (in natural environments; e.g. - Kahana Bay) to be analyzed and reiterated upon. </w:t>
      </w:r>
    </w:p>
    <w:p w:rsidR="00000000" w:rsidDel="00000000" w:rsidP="00000000" w:rsidRDefault="00000000" w:rsidRPr="00000000" w14:paraId="00000017">
      <w:pPr>
        <w:pStyle w:val="Heading1"/>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 Time Required:</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3-4 class periods including additional time to print molds and for students to test out lure designs for effectiveness in laboratory and at field sites (e.g. - Kahana Bay)</w:t>
      </w:r>
      <w:r w:rsidDel="00000000" w:rsidR="00000000" w:rsidRPr="00000000">
        <w:rPr>
          <w:rtl w:val="0"/>
        </w:rPr>
      </w:r>
    </w:p>
    <w:p w:rsidR="00000000" w:rsidDel="00000000" w:rsidP="00000000" w:rsidRDefault="00000000" w:rsidRPr="00000000" w14:paraId="0000001A">
      <w:pPr>
        <w:pStyle w:val="Heading1"/>
        <w:rPr>
          <w:rFonts w:ascii="Times New Roman" w:cs="Times New Roman" w:eastAsia="Times New Roman" w:hAnsi="Times New Roman"/>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Lesson Objectives: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be able to:</w:t>
      </w:r>
    </w:p>
    <w:p w:rsidR="00000000" w:rsidDel="00000000" w:rsidP="00000000" w:rsidRDefault="00000000" w:rsidRPr="00000000" w14:paraId="0000001D">
      <w:pPr>
        <w:numPr>
          <w:ilvl w:val="0"/>
          <w:numId w:val="8"/>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successfully 3D print a design made using OnShape</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successfully use UltiMaker Cura to slice (prepare) a model for 3D print</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utilize injection-molding techniques to fabricate a design from a mold</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design testing criteria for their lures based on success criteria; evaluate their lures</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scientists to help solve a real-world problem</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Tools and Materials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2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Tools and Materials</w:t>
            </w:r>
          </w:p>
        </w:tc>
        <w:tc>
          <w:tcPr/>
          <w:p w:rsidR="00000000" w:rsidDel="00000000" w:rsidP="00000000" w:rsidRDefault="00000000" w:rsidRPr="00000000" w14:paraId="0000002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Quantity Needed</w:t>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3D printer + filament</w:t>
            </w:r>
          </w:p>
        </w:tc>
        <w:tc>
          <w:tcPr/>
          <w:p w:rsidR="00000000" w:rsidDel="00000000" w:rsidP="00000000" w:rsidRDefault="00000000" w:rsidRPr="00000000" w14:paraId="000000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class (more printers allows for faster mold fabrication)</w:t>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Lure polymer (to be injected into molds to form lure)</w:t>
            </w:r>
          </w:p>
          <w:p w:rsidR="00000000" w:rsidDel="00000000" w:rsidP="00000000" w:rsidRDefault="00000000" w:rsidRPr="00000000" w14:paraId="0000002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*can be plasticine or bioplastic alternative</w:t>
            </w:r>
          </w:p>
        </w:tc>
        <w:tc>
          <w:tcPr/>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Varies - depending on student needs</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Vegetable oil or lubricant/release agent (optional) - assists in releasing injection-material from mold</w:t>
            </w:r>
          </w:p>
        </w:tc>
        <w:tc>
          <w:tcPr/>
          <w:p w:rsidR="00000000" w:rsidDel="00000000" w:rsidP="00000000" w:rsidRDefault="00000000" w:rsidRPr="00000000" w14:paraId="0000002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 than 1 bottle</w:t>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Large tub or body of water</w:t>
            </w:r>
          </w:p>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*specific size depending on testing needs for lures</w:t>
            </w:r>
          </w:p>
        </w:tc>
        <w:tc>
          <w:tcPr/>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Barbless j-hooks</w:t>
            </w:r>
          </w:p>
        </w:tc>
        <w:tc>
          <w:tcPr/>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group</w:t>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Fishing line</w:t>
            </w:r>
          </w:p>
        </w:tc>
        <w:tc>
          <w:tcPr/>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Varies - depending on number of groups</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Lure weights (optional)</w:t>
            </w:r>
          </w:p>
        </w:tc>
        <w:tc>
          <w:tcPr/>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Varies - depending on student needs</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f5496"/>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5496"/>
          <w:sz w:val="22"/>
          <w:szCs w:val="22"/>
          <w:u w:val="none"/>
          <w:shd w:fill="auto" w:val="clear"/>
          <w:vertAlign w:val="baseline"/>
          <w:rtl w:val="0"/>
        </w:rPr>
        <w:t xml:space="preserve">Lesson Procedures: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Explain</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prepare their lure molds for 3D printing through the use of a 3D slicing software (TBD based on available computers) - direct instruction to students on how to use 3D slicing software to prepare their 3D lure mold models for fabrication in the 3D printer.</w:t>
      </w:r>
    </w:p>
    <w:p w:rsidR="00000000" w:rsidDel="00000000" w:rsidP="00000000" w:rsidRDefault="00000000" w:rsidRPr="00000000" w14:paraId="000000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Tutorials for using 3D slicing software (UltiMaker Cura) can be obtained </w:t>
      </w:r>
      <w:hyperlink r:id="rId1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(courtesy of Joshua Nelson)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Elaborate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utilize available 3D printer(s) to print their molds.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Extend/Evaluate - (optional: only if design constraint for eco-friendly lure material is pursued)</w:t>
      </w:r>
    </w:p>
    <w:p w:rsidR="00000000" w:rsidDel="00000000" w:rsidP="00000000" w:rsidRDefault="00000000" w:rsidRPr="00000000" w14:paraId="00000041">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research, brainstorm, and explore soft-lure plastic alternatives to use to construct the main soft-body of their lures through their molds. Chosen materials will need to have proven biodegradability, durability that meets the students’ design constraints and will solidify enough to be tested against the preliminary success criteria (</w:t>
      </w:r>
      <w:hyperlink r:id="rId12">
        <w:r w:rsidDel="00000000" w:rsidR="00000000" w:rsidRPr="00000000">
          <w:rPr>
            <w:rFonts w:ascii="Times New Roman" w:cs="Times New Roman" w:eastAsia="Times New Roman" w:hAnsi="Times New Roman"/>
            <w:color w:val="1155cc"/>
            <w:u w:val="single"/>
            <w:rtl w:val="0"/>
          </w:rPr>
          <w:t xml:space="preserve">outlined in the design brief</w:t>
        </w:r>
      </w:hyperlink>
      <w:r w:rsidDel="00000000" w:rsidR="00000000" w:rsidRPr="00000000">
        <w:rPr>
          <w:rFonts w:ascii="Times New Roman" w:cs="Times New Roman" w:eastAsia="Times New Roman" w:hAnsi="Times New Roman"/>
          <w:rtl w:val="0"/>
        </w:rPr>
        <w:t xml:space="preserve">), and can be reasonably sourced/produced by the students. </w:t>
      </w:r>
    </w:p>
    <w:p w:rsidR="00000000" w:rsidDel="00000000" w:rsidP="00000000" w:rsidRDefault="00000000" w:rsidRPr="00000000" w14:paraId="00000042">
      <w:pPr>
        <w:numPr>
          <w:ilvl w:val="1"/>
          <w:numId w:val="2"/>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iCs w:val="1"/>
          <w:rtl w:val="0"/>
        </w:rPr>
        <w:t xml:space="preserve">Differentiation</w:t>
      </w:r>
      <w:r w:rsidDel="00000000" w:rsidR="00000000" w:rsidRPr="00000000">
        <w:rPr>
          <w:rFonts w:ascii="Times New Roman" w:cs="Times New Roman" w:eastAsia="Times New Roman" w:hAnsi="Times New Roman"/>
          <w:rtl w:val="0"/>
        </w:rPr>
        <w:t xml:space="preserve">: The amount of scaffolding to provide for students in guiding them towards worthwhile plastic alternatives can be adjusted depending on the students. Potential materials to explore: Gelatin (with alum additive), Carrageenan, Alginates, Thermoplastic starches (from various sources such as potatoes, rice, etc)</w:t>
      </w:r>
    </w:p>
    <w:p w:rsidR="00000000" w:rsidDel="00000000" w:rsidP="00000000" w:rsidRDefault="00000000" w:rsidRPr="00000000" w14:paraId="00000043">
      <w:pPr>
        <w:numPr>
          <w:ilvl w:val="0"/>
          <w:numId w:val="2"/>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may need to design secondary success criteria for their bioplastic that are derived from the preliminary success criteria, such that it can be tested after fabricating their lures. </w:t>
      </w:r>
    </w:p>
    <w:p w:rsidR="00000000" w:rsidDel="00000000" w:rsidP="00000000" w:rsidRDefault="00000000" w:rsidRPr="00000000" w14:paraId="00000044">
      <w:pPr>
        <w:numPr>
          <w:ilvl w:val="1"/>
          <w:numId w:val="2"/>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may opt to present their findings and formulations with their peers to share best practices and adoption by other student groups for use in their own lures.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Explain/Elaborate</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(and/or teacher) will prepare their plastic or bioplastic to be injected into their 3D printed lure molds - directions for preparation of the injection molding material will be specific to the material being utilized. </w:t>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Plastisol is the common polymer used for casting soft-bodied lures.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under instruction, guidance and supervision of the teacher, will be filling their molds with plastic/bioplastic either via injection-molding or open-face molding. Allow lure material to cool and set in their molds before removal. </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iCs w:val="1"/>
          <w:rtl w:val="0"/>
        </w:rPr>
        <w:t xml:space="preserve">Injection-molding</w:t>
      </w:r>
      <w:r w:rsidDel="00000000" w:rsidR="00000000" w:rsidRPr="00000000">
        <w:rPr>
          <w:rFonts w:ascii="Times New Roman" w:cs="Times New Roman" w:eastAsia="Times New Roman" w:hAnsi="Times New Roman"/>
          <w:rtl w:val="0"/>
        </w:rPr>
        <w:t xml:space="preserve">: Students will need to liquify their plastic and use an injection device (thick plastic/metal syringe) to place the material into the molds to solidify.</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iCs w:val="1"/>
          <w:rtl w:val="0"/>
        </w:rPr>
        <w:t xml:space="preserve">Open-face molding</w:t>
      </w:r>
      <w:r w:rsidDel="00000000" w:rsidR="00000000" w:rsidRPr="00000000">
        <w:rPr>
          <w:rFonts w:ascii="Times New Roman" w:cs="Times New Roman" w:eastAsia="Times New Roman" w:hAnsi="Times New Roman"/>
          <w:rtl w:val="0"/>
        </w:rPr>
        <w:t xml:space="preserve">: Students will need to pour their plastic onto the open face of their mold and remove excess. </w:t>
      </w:r>
    </w:p>
    <w:p w:rsidR="00000000" w:rsidDel="00000000" w:rsidP="00000000" w:rsidRDefault="00000000" w:rsidRPr="00000000" w14:paraId="0000004C">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3D printed molds will need to be fastened together using 1/4-20 bolts and wingnuts to prevent leakage of plastic</w:t>
      </w:r>
    </w:p>
    <w:p w:rsidR="00000000" w:rsidDel="00000000" w:rsidP="00000000" w:rsidRDefault="00000000" w:rsidRPr="00000000" w14:paraId="0000004D">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NOTE: Practice safety - wear appropriate eyewear, insulated gloves, and a well-ventilated environment.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attach fishing line, hooks, and weights to their lures as desired.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test their lures against the preliminary success criteria (</w:t>
      </w:r>
      <w:hyperlink r:id="rId13">
        <w:r w:rsidDel="00000000" w:rsidR="00000000" w:rsidRPr="00000000">
          <w:rPr>
            <w:rFonts w:ascii="Times New Roman" w:cs="Times New Roman" w:eastAsia="Times New Roman" w:hAnsi="Times New Roman"/>
            <w:color w:val="1155cc"/>
            <w:u w:val="single"/>
            <w:rtl w:val="0"/>
          </w:rPr>
          <w:t xml:space="preserve">outlined in the design brief</w:t>
        </w:r>
      </w:hyperlink>
      <w:r w:rsidDel="00000000" w:rsidR="00000000" w:rsidRPr="00000000">
        <w:rPr>
          <w:rFonts w:ascii="Times New Roman" w:cs="Times New Roman" w:eastAsia="Times New Roman" w:hAnsi="Times New Roman"/>
          <w:rtl w:val="0"/>
        </w:rPr>
        <w:t xml:space="preserve">), in artificial conditions set up in their school environments; a </w:t>
      </w:r>
      <w:r w:rsidDel="00000000" w:rsidR="00000000" w:rsidRPr="00000000">
        <w:rPr>
          <w:rFonts w:ascii="Times New Roman" w:cs="Times New Roman" w:eastAsia="Times New Roman" w:hAnsi="Times New Roman"/>
          <w:i w:val="1"/>
          <w:iCs w:val="1"/>
          <w:rtl w:val="0"/>
        </w:rPr>
        <w:t xml:space="preserve">larger</w:t>
      </w:r>
      <w:r w:rsidDel="00000000" w:rsidR="00000000" w:rsidRPr="00000000">
        <w:rPr>
          <w:rFonts w:ascii="Times New Roman" w:cs="Times New Roman" w:eastAsia="Times New Roman" w:hAnsi="Times New Roman"/>
          <w:rtl w:val="0"/>
        </w:rPr>
        <w:t xml:space="preserve"> body of water (large water-filled bin, pool, etc) will be necessary for students to run their lures to in order to collect data on their lures movement, behavior, durability, etc as defined by their design constraints and determined testing criteria.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Extend/Evaluate - </w:t>
      </w:r>
      <w:r w:rsidDel="00000000" w:rsidR="00000000" w:rsidRPr="00000000">
        <w:rPr>
          <w:rFonts w:ascii="Times New Roman" w:cs="Times New Roman" w:eastAsia="Times New Roman" w:hAnsi="Times New Roman"/>
          <w:b w:val="1"/>
          <w:bCs w:val="1"/>
          <w:i w:val="1"/>
          <w:iCs w:val="1"/>
          <w:rtl w:val="0"/>
        </w:rPr>
        <w:t xml:space="preserve">optional</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i w:val="1"/>
          <w:iCs w:val="1"/>
          <w:rtl w:val="0"/>
        </w:rPr>
        <w:t xml:space="preserve"> may not be possible for all students due to limited availability to visit field sites</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may be able to test their lures against the extended success criteria (</w:t>
      </w:r>
      <w:hyperlink r:id="rId14">
        <w:r w:rsidDel="00000000" w:rsidR="00000000" w:rsidRPr="00000000">
          <w:rPr>
            <w:rFonts w:ascii="Times New Roman" w:cs="Times New Roman" w:eastAsia="Times New Roman" w:hAnsi="Times New Roman"/>
            <w:color w:val="1155cc"/>
            <w:u w:val="single"/>
            <w:rtl w:val="0"/>
          </w:rPr>
          <w:t xml:space="preserve">outlined in the design brief</w:t>
        </w:r>
      </w:hyperlink>
      <w:r w:rsidDel="00000000" w:rsidR="00000000" w:rsidRPr="00000000">
        <w:rPr>
          <w:rFonts w:ascii="Times New Roman" w:cs="Times New Roman" w:eastAsia="Times New Roman" w:hAnsi="Times New Roman"/>
          <w:rtl w:val="0"/>
        </w:rPr>
        <w:t xml:space="preserve">) at field sites where the target species (or target fish with similar prey diets) is known to exist. </w:t>
      </w:r>
    </w:p>
    <w:p w:rsidR="00000000" w:rsidDel="00000000" w:rsidP="00000000" w:rsidRDefault="00000000" w:rsidRPr="00000000" w14:paraId="0000005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(Hawaiʻi-ʻOahu only) Potential collaboration with Cory Yap (Paʻepaʻe o Waikolu) in freshwater streams where prevalence of and ecological impact of Smallmouth Bass is significant. </w:t>
      </w:r>
    </w:p>
    <w:p w:rsidR="00000000" w:rsidDel="00000000" w:rsidP="00000000" w:rsidRDefault="00000000" w:rsidRPr="00000000" w14:paraId="00000056">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Resources: See </w:t>
      </w:r>
      <w:hyperlink r:id="rId15">
        <w:r w:rsidDel="00000000" w:rsidR="00000000" w:rsidRPr="00000000">
          <w:rPr>
            <w:rFonts w:ascii="Times New Roman" w:cs="Times New Roman" w:eastAsia="Times New Roman" w:hAnsi="Times New Roman"/>
            <w:color w:val="1155cc"/>
            <w:sz w:val="22"/>
            <w:szCs w:val="22"/>
            <w:u w:val="single"/>
            <w:rtl w:val="0"/>
          </w:rPr>
          <w:t xml:space="preserve">linked </w:t>
        </w:r>
      </w:hyperlink>
      <w:hyperlink r:id="rId16">
        <w:r w:rsidDel="00000000" w:rsidR="00000000" w:rsidRPr="00000000">
          <w:rPr>
            <w:rFonts w:ascii="Times New Roman" w:cs="Times New Roman" w:eastAsia="Times New Roman" w:hAnsi="Times New Roman"/>
            <w:color w:val="1155cc"/>
            <w:sz w:val="22"/>
            <w:szCs w:val="22"/>
            <w:u w:val="single"/>
            <w:rtl w:val="0"/>
          </w:rPr>
          <w:t xml:space="preserve">slidedeck</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for all lesson resources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documents e.g. observation sheets, reflective journals, assessments, and other assignments. Include assessment rubrics or keys as needed]</w:t>
      </w:r>
    </w:p>
    <w:p w:rsidR="00000000" w:rsidDel="00000000" w:rsidP="00000000" w:rsidRDefault="00000000" w:rsidRPr="00000000" w14:paraId="0000005B">
      <w:pPr>
        <w:pStyle w:val="Heading1"/>
        <w:rPr>
          <w:rFonts w:ascii="Times New Roman" w:cs="Times New Roman" w:eastAsia="Times New Roman" w:hAnsi="Times New Roman"/>
        </w:rPr>
      </w:pPr>
      <w:bookmarkStart w:colFirst="0" w:colLast="0" w:name="_el2e2s3av18q" w:id="1"/>
      <w:bookmarkEnd w:id="1"/>
      <w:r w:rsidDel="00000000" w:rsidR="00000000" w:rsidRPr="00000000">
        <w:rPr>
          <w:rFonts w:ascii="Times New Roman" w:cs="Times New Roman" w:eastAsia="Times New Roman" w:hAnsi="Times New Roman"/>
          <w:color w:val="000000"/>
          <w:sz w:val="22"/>
          <w:szCs w:val="22"/>
          <w:rtl w:val="0"/>
        </w:rPr>
        <w:t xml:space="preserve">See </w:t>
      </w:r>
      <w:hyperlink r:id="rId17">
        <w:r w:rsidDel="00000000" w:rsidR="00000000" w:rsidRPr="00000000">
          <w:rPr>
            <w:rFonts w:ascii="Times New Roman" w:cs="Times New Roman" w:eastAsia="Times New Roman" w:hAnsi="Times New Roman"/>
            <w:color w:val="1155cc"/>
            <w:sz w:val="22"/>
            <w:szCs w:val="22"/>
            <w:u w:val="single"/>
            <w:rtl w:val="0"/>
          </w:rPr>
          <w:t xml:space="preserve">linked </w:t>
        </w:r>
      </w:hyperlink>
      <w:hyperlink r:id="rId18">
        <w:r w:rsidDel="00000000" w:rsidR="00000000" w:rsidRPr="00000000">
          <w:rPr>
            <w:rFonts w:ascii="Times New Roman" w:cs="Times New Roman" w:eastAsia="Times New Roman" w:hAnsi="Times New Roman"/>
            <w:color w:val="1155cc"/>
            <w:sz w:val="22"/>
            <w:szCs w:val="22"/>
            <w:u w:val="single"/>
            <w:rtl w:val="0"/>
          </w:rPr>
          <w:t xml:space="preserve">slidedeck</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for all lesson resources</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5E">
      <w:pPr>
        <w:spacing w:after="0" w:line="276" w:lineRule="auto"/>
        <w:rPr>
          <w:rFonts w:ascii="Times New Roman" w:cs="Times New Roman" w:eastAsia="Times New Roman" w:hAnsi="Times New Roman"/>
          <w:b w:val="1"/>
          <w:bCs w:val="1"/>
        </w:rPr>
      </w:pPr>
      <w:r w:rsidDel="00000000" w:rsidR="00000000" w:rsidRPr="00000000">
        <w:rPr>
          <w:rtl w:val="0"/>
        </w:rPr>
      </w:r>
    </w:p>
    <w:sectPr>
      <w:headerReference r:id="rId19" w:type="default"/>
      <w:footerReference r:id="rId20"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This project is supported by the National Science Foundation, award # DRL – 2148781 (Purdue University) / 2148782 (University of Hawaii).</w:t>
    </w:r>
    <w:r w:rsidDel="00000000" w:rsidR="00000000" w:rsidRPr="00000000">
      <w:drawing>
        <wp:anchor allowOverlap="1" behindDoc="0" distB="0" distT="0" distL="114300" distR="114300" hidden="0" layoutInCell="1" locked="0" relativeHeight="0" simplePos="0">
          <wp:simplePos x="0" y="0"/>
          <wp:positionH relativeFrom="column">
            <wp:posOffset>-504822</wp:posOffset>
          </wp:positionH>
          <wp:positionV relativeFrom="paragraph">
            <wp:posOffset>-123187</wp:posOffset>
          </wp:positionV>
          <wp:extent cx="485775" cy="49149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5775" cy="491490"/>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Any opinions, and findings expressed in this material are the authors and do not necessarily reflect the views of NSF.</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563c1"/>
        <w:sz w:val="16"/>
        <w:szCs w:val="16"/>
        <w:u w:val="single"/>
      </w:rPr>
    </w:pPr>
    <w:r w:rsidDel="00000000" w:rsidR="00000000" w:rsidRPr="00000000">
      <w:rPr>
        <w:color w:val="000000"/>
        <w:sz w:val="16"/>
        <w:szCs w:val="16"/>
        <w:rtl w:val="0"/>
      </w:rPr>
      <w:t xml:space="preserve">Provided by TRAILS </w:t>
    </w:r>
    <w:hyperlink r:id="rId2">
      <w:r w:rsidDel="00000000" w:rsidR="00000000" w:rsidRPr="00000000">
        <w:rPr>
          <w:color w:val="0563c1"/>
          <w:sz w:val="16"/>
          <w:szCs w:val="16"/>
          <w:u w:val="single"/>
          <w:rtl w:val="0"/>
        </w:rPr>
        <w:t xml:space="preserve">www.purdue.edu/trails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Style w:val="Title"/>
      <w:ind w:left="7920" w:firstLine="720"/>
      <w:jc w:val="left"/>
      <w:rPr/>
    </w:pPr>
    <w:r w:rsidDel="00000000" w:rsidR="00000000" w:rsidRPr="00000000">
      <w:rPr/>
      <w:drawing>
        <wp:inline distB="114300" distT="114300" distL="114300" distR="114300">
          <wp:extent cx="635710" cy="57516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710" cy="575166"/>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1" name=""/>
              <a:graphic>
                <a:graphicData uri="http://schemas.microsoft.com/office/word/2010/wordprocessingShape">
                  <wps:wsp>
                    <wps:cNvSpPr/>
                    <wps:cNvPr id="2" name="Shape 2"/>
                    <wps:spPr>
                      <a:xfrm>
                        <a:off x="5090528" y="3418671"/>
                        <a:ext cx="510944" cy="72265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32183" cy="52046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after="240" w:line="240" w:lineRule="auto"/>
      <w:ind w:left="720" w:hanging="360"/>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240" w:lineRule="auto"/>
      <w:jc w:val="center"/>
    </w:pPr>
    <w:rPr>
      <w:rFonts w:ascii="Arial" w:cs="Arial" w:eastAsia="Arial" w:hAnsi="Arial"/>
      <w:b w:val="1"/>
      <w:bCs w:val="1"/>
      <w:color w:val="7f7f7f"/>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rive.google.com/drive/folders/1xVeImJqd2M7xN4OCCVZsYlyNAxq6qT4s?usp=drive_link" TargetMode="External"/><Relationship Id="rId10" Type="http://schemas.openxmlformats.org/officeDocument/2006/relationships/hyperlink" Target="https://aae.lewiscenter.org/documents/AAE/Science/NGSS/eisenkrafttst.pdf" TargetMode="External"/><Relationship Id="rId13" Type="http://schemas.openxmlformats.org/officeDocument/2006/relationships/hyperlink" Target="https://docs.google.com/document/d/1iEgwLZF5caDowVUqV4A16-AHMeNyE6wy6dgoLGqWoJs/edit?usp=sharing" TargetMode="External"/><Relationship Id="rId12" Type="http://schemas.openxmlformats.org/officeDocument/2006/relationships/hyperlink" Target="https://docs.google.com/document/d/1iEgwLZF5caDowVUqV4A16-AHMeNyE6wy6dgoLGqWoJ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waiipublicschools.org/DOE%20Forms/NaHopenaAoE3.pdf" TargetMode="External"/><Relationship Id="rId15" Type="http://schemas.openxmlformats.org/officeDocument/2006/relationships/hyperlink" Target="https://docs.google.com/presentation/d/1tRz98b2UEIeXVX6Aj9GRWbTcx-DCgAjceFge5A9-CM8/edit?usp=sharing" TargetMode="External"/><Relationship Id="rId14" Type="http://schemas.openxmlformats.org/officeDocument/2006/relationships/hyperlink" Target="https://docs.google.com/document/d/1iEgwLZF5caDowVUqV4A16-AHMeNyE6wy6dgoLGqWoJs/edit?usp=sharing" TargetMode="External"/><Relationship Id="rId17" Type="http://schemas.openxmlformats.org/officeDocument/2006/relationships/hyperlink" Target="https://docs.google.com/presentation/d/1tRz98b2UEIeXVX6Aj9GRWbTcx-DCgAjceFge5A9-CM8/edit?usp=sharing" TargetMode="External"/><Relationship Id="rId16" Type="http://schemas.openxmlformats.org/officeDocument/2006/relationships/hyperlink" Target="https://docs.google.com/presentation/d/1tRz98b2UEIeXVX6Aj9GRWbTcx-DCgAjceFge5A9-CM8/edit?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5.png"/><Relationship Id="rId18" Type="http://schemas.openxmlformats.org/officeDocument/2006/relationships/hyperlink" Target="https://docs.google.com/presentation/d/1tRz98b2UEIeXVX6Aj9GRWbTcx-DCgAjceFge5A9-CM8/edit?usp=sharing" TargetMode="External"/><Relationship Id="rId7" Type="http://schemas.openxmlformats.org/officeDocument/2006/relationships/image" Target="media/image3.png"/><Relationship Id="rId8" Type="http://schemas.openxmlformats.org/officeDocument/2006/relationships/hyperlink" Target="https://www.nextgenscienc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