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6"/>
        <w:gridCol w:w="2674"/>
      </w:tblGrid>
      <w:tr w:rsidR="00854556" w:rsidRPr="00180B05" w14:paraId="460372D3" w14:textId="77777777" w:rsidTr="007C19C1">
        <w:tc>
          <w:tcPr>
            <w:tcW w:w="6776" w:type="dxa"/>
          </w:tcPr>
          <w:p w14:paraId="6362E9B3" w14:textId="5B5D8D33" w:rsidR="00854556" w:rsidRPr="00180B05" w:rsidRDefault="00854556">
            <w:pPr>
              <w:rPr>
                <w:noProof/>
                <w:sz w:val="22"/>
                <w:szCs w:val="22"/>
              </w:rPr>
            </w:pPr>
            <w:r w:rsidRPr="00180B05">
              <w:rPr>
                <w:noProof/>
                <w:sz w:val="22"/>
                <w:szCs w:val="22"/>
              </w:rPr>
              <w:drawing>
                <wp:inline distT="0" distB="0" distL="0" distR="0" wp14:anchorId="2EFEC468" wp14:editId="6471DFD2">
                  <wp:extent cx="4165907" cy="441960"/>
                  <wp:effectExtent l="0" t="0" r="0" b="0"/>
                  <wp:docPr id="269359499" name="Picture 1" descr="Purdue University Senate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20356-FE31-4E1B-ADB5-B6A3BC0247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59499" name="Picture 1" descr="Purdue University Sena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233" cy="44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4E18574A" w14:textId="6D896B2B" w:rsidR="00854556" w:rsidRPr="005C2383" w:rsidRDefault="00854556" w:rsidP="00854556">
            <w:pPr>
              <w:jc w:val="right"/>
              <w:rPr>
                <w:b/>
                <w:bCs/>
                <w:noProof/>
                <w:sz w:val="22"/>
                <w:szCs w:val="22"/>
              </w:rPr>
            </w:pPr>
            <w:r w:rsidRPr="005C2383">
              <w:rPr>
                <w:b/>
                <w:bCs/>
                <w:noProof/>
                <w:sz w:val="22"/>
                <w:szCs w:val="22"/>
              </w:rPr>
              <w:t>Senate Document 25-</w:t>
            </w:r>
            <w:r w:rsidR="005C2383" w:rsidRPr="005C2383">
              <w:rPr>
                <w:b/>
                <w:bCs/>
                <w:noProof/>
                <w:sz w:val="22"/>
                <w:szCs w:val="22"/>
              </w:rPr>
              <w:t>23</w:t>
            </w:r>
          </w:p>
          <w:p w14:paraId="64AC6DF6" w14:textId="6074930E" w:rsidR="00854556" w:rsidRPr="00180B05" w:rsidRDefault="005C2383" w:rsidP="00854556">
            <w:pPr>
              <w:jc w:val="right"/>
              <w:rPr>
                <w:noProof/>
                <w:sz w:val="22"/>
                <w:szCs w:val="22"/>
              </w:rPr>
            </w:pPr>
            <w:r w:rsidRPr="005C2383">
              <w:rPr>
                <w:b/>
                <w:bCs/>
                <w:noProof/>
                <w:sz w:val="22"/>
                <w:szCs w:val="22"/>
              </w:rPr>
              <w:t>23 March 2026</w:t>
            </w:r>
          </w:p>
        </w:tc>
      </w:tr>
    </w:tbl>
    <w:p w14:paraId="3FBA44E6" w14:textId="77777777" w:rsidR="00854556" w:rsidRPr="00180B05" w:rsidRDefault="00854556">
      <w:pPr>
        <w:rPr>
          <w:noProof/>
          <w:sz w:val="22"/>
          <w:szCs w:val="22"/>
        </w:rPr>
      </w:pPr>
    </w:p>
    <w:p w14:paraId="454E75EA" w14:textId="0CF08E93" w:rsidR="0049784E" w:rsidRPr="00180B05" w:rsidRDefault="0049784E" w:rsidP="00854556">
      <w:pPr>
        <w:spacing w:after="0"/>
        <w:rPr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7382"/>
      </w:tblGrid>
      <w:tr w:rsidR="00854556" w:rsidRPr="00180B05" w14:paraId="185C0E77" w14:textId="77777777" w:rsidTr="002F0D6E">
        <w:tc>
          <w:tcPr>
            <w:tcW w:w="1998" w:type="dxa"/>
          </w:tcPr>
          <w:p w14:paraId="2E053C2D" w14:textId="65E5C96C" w:rsidR="00854556" w:rsidRPr="00180B05" w:rsidRDefault="00854556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b/>
                <w:bCs/>
                <w:noProof/>
                <w:sz w:val="22"/>
                <w:szCs w:val="22"/>
              </w:rPr>
              <w:t xml:space="preserve">To: </w:t>
            </w:r>
          </w:p>
        </w:tc>
        <w:tc>
          <w:tcPr>
            <w:tcW w:w="7578" w:type="dxa"/>
          </w:tcPr>
          <w:p w14:paraId="19E2441F" w14:textId="7F64C963" w:rsidR="00854556" w:rsidRPr="00180B05" w:rsidRDefault="00854556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noProof/>
                <w:sz w:val="22"/>
                <w:szCs w:val="22"/>
              </w:rPr>
              <w:t>University Senate</w:t>
            </w:r>
          </w:p>
        </w:tc>
      </w:tr>
      <w:tr w:rsidR="00854556" w:rsidRPr="00180B05" w14:paraId="618F57F4" w14:textId="77777777" w:rsidTr="002F0D6E">
        <w:tc>
          <w:tcPr>
            <w:tcW w:w="1998" w:type="dxa"/>
          </w:tcPr>
          <w:p w14:paraId="1EA39D5C" w14:textId="405EA70B" w:rsidR="00854556" w:rsidRPr="00180B05" w:rsidRDefault="00854556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b/>
                <w:bCs/>
                <w:noProof/>
                <w:sz w:val="22"/>
                <w:szCs w:val="22"/>
              </w:rPr>
              <w:t>From:</w:t>
            </w:r>
          </w:p>
        </w:tc>
        <w:tc>
          <w:tcPr>
            <w:tcW w:w="7578" w:type="dxa"/>
          </w:tcPr>
          <w:p w14:paraId="05D899C2" w14:textId="02CA81B2" w:rsidR="00854556" w:rsidRPr="00180B05" w:rsidRDefault="00854556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noProof/>
                <w:sz w:val="22"/>
                <w:szCs w:val="22"/>
              </w:rPr>
              <w:t>Educational Policy Committee</w:t>
            </w:r>
          </w:p>
        </w:tc>
      </w:tr>
      <w:tr w:rsidR="00854556" w:rsidRPr="00180B05" w14:paraId="20381A42" w14:textId="77777777" w:rsidTr="002F0D6E">
        <w:tc>
          <w:tcPr>
            <w:tcW w:w="1998" w:type="dxa"/>
          </w:tcPr>
          <w:p w14:paraId="532E197C" w14:textId="5FA0156C" w:rsidR="00854556" w:rsidRPr="00180B05" w:rsidRDefault="00854556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b/>
                <w:bCs/>
                <w:noProof/>
                <w:sz w:val="22"/>
                <w:szCs w:val="22"/>
              </w:rPr>
              <w:t>Subject:</w:t>
            </w:r>
          </w:p>
        </w:tc>
        <w:tc>
          <w:tcPr>
            <w:tcW w:w="7578" w:type="dxa"/>
          </w:tcPr>
          <w:p w14:paraId="2A948ED4" w14:textId="68D555E7" w:rsidR="00854556" w:rsidRPr="00180B05" w:rsidRDefault="00854556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noProof/>
                <w:sz w:val="22"/>
                <w:szCs w:val="22"/>
              </w:rPr>
              <w:t xml:space="preserve">Edits to academic regulations regarding </w:t>
            </w:r>
            <w:r w:rsidR="00BD12A9">
              <w:rPr>
                <w:noProof/>
                <w:sz w:val="22"/>
                <w:szCs w:val="22"/>
              </w:rPr>
              <w:t>summer calendar</w:t>
            </w:r>
          </w:p>
        </w:tc>
      </w:tr>
      <w:tr w:rsidR="00854556" w:rsidRPr="00180B05" w14:paraId="223F23E6" w14:textId="77777777" w:rsidTr="002F0D6E">
        <w:tc>
          <w:tcPr>
            <w:tcW w:w="1998" w:type="dxa"/>
          </w:tcPr>
          <w:p w14:paraId="23541525" w14:textId="4B128EBB" w:rsidR="00854556" w:rsidRPr="00180B05" w:rsidRDefault="00854556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b/>
                <w:bCs/>
                <w:noProof/>
                <w:sz w:val="22"/>
                <w:szCs w:val="22"/>
              </w:rPr>
              <w:t>Reference:</w:t>
            </w:r>
          </w:p>
        </w:tc>
        <w:tc>
          <w:tcPr>
            <w:tcW w:w="7578" w:type="dxa"/>
          </w:tcPr>
          <w:p w14:paraId="6BBBE4A3" w14:textId="0ACA15D7" w:rsidR="002F0D6E" w:rsidRPr="00180B05" w:rsidRDefault="00854556" w:rsidP="00E31E86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noProof/>
                <w:sz w:val="22"/>
                <w:szCs w:val="22"/>
              </w:rPr>
              <w:t xml:space="preserve">[1] Purdue University Academic Regulations: </w:t>
            </w:r>
            <w:hyperlink r:id="rId9" w:anchor="academic-year-and-calendar" w:history="1">
              <w:r w:rsidR="00442BFC">
                <w:rPr>
                  <w:rStyle w:val="Hyperlink"/>
                  <w:noProof/>
                  <w:sz w:val="22"/>
                  <w:szCs w:val="22"/>
                </w:rPr>
                <w:t>Academic Year and Calendar</w:t>
              </w:r>
            </w:hyperlink>
            <w:r w:rsidRPr="00180B05">
              <w:rPr>
                <w:noProof/>
                <w:sz w:val="22"/>
                <w:szCs w:val="22"/>
              </w:rPr>
              <w:t xml:space="preserve"> </w:t>
            </w:r>
            <w:r w:rsidR="00442BFC">
              <w:rPr>
                <w:noProof/>
                <w:sz w:val="22"/>
                <w:szCs w:val="22"/>
              </w:rPr>
              <w:t>A</w:t>
            </w:r>
            <w:r w:rsidR="00E31E86" w:rsidRPr="00180B05">
              <w:rPr>
                <w:noProof/>
                <w:sz w:val="22"/>
                <w:szCs w:val="22"/>
              </w:rPr>
              <w:t xml:space="preserve">: </w:t>
            </w:r>
            <w:r w:rsidR="00442BFC">
              <w:rPr>
                <w:noProof/>
                <w:sz w:val="22"/>
                <w:szCs w:val="22"/>
              </w:rPr>
              <w:t>Academic Calendar</w:t>
            </w:r>
          </w:p>
        </w:tc>
      </w:tr>
      <w:tr w:rsidR="00854556" w:rsidRPr="00180B05" w14:paraId="368914B1" w14:textId="77777777" w:rsidTr="002F0D6E">
        <w:tc>
          <w:tcPr>
            <w:tcW w:w="1998" w:type="dxa"/>
          </w:tcPr>
          <w:p w14:paraId="6B50EA92" w14:textId="093F21B2" w:rsidR="00854556" w:rsidRPr="00180B05" w:rsidRDefault="002F0D6E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b/>
                <w:bCs/>
                <w:noProof/>
                <w:sz w:val="22"/>
                <w:szCs w:val="22"/>
              </w:rPr>
              <w:t>Disposition:</w:t>
            </w:r>
          </w:p>
        </w:tc>
        <w:tc>
          <w:tcPr>
            <w:tcW w:w="7578" w:type="dxa"/>
          </w:tcPr>
          <w:p w14:paraId="1A43CFD6" w14:textId="6A318A95" w:rsidR="00854556" w:rsidRPr="00180B05" w:rsidRDefault="002F0D6E" w:rsidP="002F0D6E">
            <w:pPr>
              <w:tabs>
                <w:tab w:val="left" w:pos="1800"/>
              </w:tabs>
              <w:spacing w:after="60"/>
              <w:rPr>
                <w:noProof/>
                <w:sz w:val="22"/>
                <w:szCs w:val="22"/>
              </w:rPr>
            </w:pPr>
            <w:r w:rsidRPr="00180B05">
              <w:rPr>
                <w:noProof/>
                <w:sz w:val="22"/>
                <w:szCs w:val="22"/>
              </w:rPr>
              <w:t>University Senate for Discussion and Adoption</w:t>
            </w:r>
          </w:p>
        </w:tc>
      </w:tr>
      <w:tr w:rsidR="00854556" w:rsidRPr="00180B05" w14:paraId="0434E1C0" w14:textId="77777777" w:rsidTr="002F0D6E">
        <w:tc>
          <w:tcPr>
            <w:tcW w:w="1998" w:type="dxa"/>
          </w:tcPr>
          <w:p w14:paraId="3F48D6C6" w14:textId="77777777" w:rsidR="00995FD4" w:rsidRPr="00180B05" w:rsidRDefault="00995FD4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</w:p>
          <w:p w14:paraId="43EB9CDF" w14:textId="22A21693" w:rsidR="00854556" w:rsidRPr="00180B05" w:rsidRDefault="002F0D6E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b/>
                <w:bCs/>
                <w:noProof/>
                <w:sz w:val="22"/>
                <w:szCs w:val="22"/>
              </w:rPr>
              <w:t>Rationale:</w:t>
            </w:r>
          </w:p>
        </w:tc>
        <w:tc>
          <w:tcPr>
            <w:tcW w:w="7578" w:type="dxa"/>
          </w:tcPr>
          <w:p w14:paraId="799DFFE0" w14:textId="77777777" w:rsidR="00C41A0C" w:rsidRPr="00180B05" w:rsidRDefault="00C41A0C" w:rsidP="00A75E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</w:p>
          <w:p w14:paraId="7FEACC3E" w14:textId="5BFADAF0" w:rsidR="001E5031" w:rsidRDefault="00603FBA" w:rsidP="00A75EBC">
            <w:pPr>
              <w:tabs>
                <w:tab w:val="left" w:pos="1800"/>
              </w:tabs>
              <w:rPr>
                <w:sz w:val="22"/>
                <w:szCs w:val="22"/>
              </w:rPr>
            </w:pPr>
            <w:r w:rsidRPr="00603FBA">
              <w:rPr>
                <w:sz w:val="22"/>
                <w:szCs w:val="22"/>
              </w:rPr>
              <w:t xml:space="preserve">Purdue University supports a growing range of instructional models in summer (including fully online programs, hybrid programs, early-start initiatives, and other specialty programming) that currently operate on a mix of date ranges. Misalignment between these date ranges, particularly during the summer term, creates regulatory, academic, operational, and student experience </w:t>
            </w:r>
            <w:r w:rsidRPr="007201E9">
              <w:rPr>
                <w:sz w:val="22"/>
                <w:szCs w:val="22"/>
              </w:rPr>
              <w:t>challenges</w:t>
            </w:r>
            <w:r w:rsidR="007201E9" w:rsidRPr="007201E9">
              <w:rPr>
                <w:sz w:val="22"/>
                <w:szCs w:val="22"/>
              </w:rPr>
              <w:t xml:space="preserve">. </w:t>
            </w:r>
            <w:r w:rsidR="00525A58">
              <w:rPr>
                <w:sz w:val="22"/>
                <w:szCs w:val="22"/>
              </w:rPr>
              <w:t>A</w:t>
            </w:r>
            <w:r w:rsidR="00562833">
              <w:rPr>
                <w:sz w:val="22"/>
                <w:szCs w:val="22"/>
              </w:rPr>
              <w:t>djusting the official academic calendar to 14 weeks will give</w:t>
            </w:r>
            <w:r w:rsidR="002F456A">
              <w:rPr>
                <w:sz w:val="22"/>
                <w:szCs w:val="22"/>
              </w:rPr>
              <w:t xml:space="preserve"> faculty additional flexibility</w:t>
            </w:r>
            <w:r w:rsidR="008F1AB2">
              <w:rPr>
                <w:sz w:val="22"/>
                <w:szCs w:val="22"/>
              </w:rPr>
              <w:t xml:space="preserve"> without requiring anyone who currently operates within the </w:t>
            </w:r>
            <w:r w:rsidR="007A3160">
              <w:rPr>
                <w:sz w:val="22"/>
                <w:szCs w:val="22"/>
              </w:rPr>
              <w:t xml:space="preserve">standard </w:t>
            </w:r>
            <w:r w:rsidR="008F1AB2">
              <w:rPr>
                <w:sz w:val="22"/>
                <w:szCs w:val="22"/>
              </w:rPr>
              <w:t>12-week session to change their practices</w:t>
            </w:r>
            <w:r w:rsidR="002F456A">
              <w:rPr>
                <w:sz w:val="22"/>
                <w:szCs w:val="22"/>
              </w:rPr>
              <w:t>.</w:t>
            </w:r>
            <w:r w:rsidR="00373A66">
              <w:rPr>
                <w:sz w:val="22"/>
                <w:szCs w:val="22"/>
              </w:rPr>
              <w:t xml:space="preserve"> </w:t>
            </w:r>
          </w:p>
          <w:p w14:paraId="40EDF74B" w14:textId="58652D4A" w:rsidR="00A75EBC" w:rsidRPr="00180B05" w:rsidRDefault="00A75EBC" w:rsidP="002F0D6E">
            <w:pPr>
              <w:tabs>
                <w:tab w:val="left" w:pos="1800"/>
              </w:tabs>
              <w:spacing w:after="60"/>
              <w:rPr>
                <w:noProof/>
                <w:sz w:val="22"/>
                <w:szCs w:val="22"/>
              </w:rPr>
            </w:pPr>
          </w:p>
        </w:tc>
      </w:tr>
      <w:tr w:rsidR="002F0D6E" w:rsidRPr="00180B05" w14:paraId="57B10BA8" w14:textId="77777777" w:rsidTr="002F0D6E">
        <w:tc>
          <w:tcPr>
            <w:tcW w:w="1998" w:type="dxa"/>
          </w:tcPr>
          <w:p w14:paraId="3BF64BA2" w14:textId="03C75225" w:rsidR="002F0D6E" w:rsidRPr="00180B05" w:rsidRDefault="002F0D6E" w:rsidP="002F0D6E">
            <w:pPr>
              <w:tabs>
                <w:tab w:val="left" w:pos="1800"/>
              </w:tabs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b/>
                <w:bCs/>
                <w:noProof/>
                <w:sz w:val="22"/>
                <w:szCs w:val="22"/>
              </w:rPr>
              <w:t xml:space="preserve">Proposal: </w:t>
            </w:r>
          </w:p>
        </w:tc>
        <w:tc>
          <w:tcPr>
            <w:tcW w:w="7578" w:type="dxa"/>
          </w:tcPr>
          <w:p w14:paraId="72C05606" w14:textId="6F0829D1" w:rsidR="002F0D6E" w:rsidRPr="00180B05" w:rsidRDefault="002F0D6E" w:rsidP="002F0D6E">
            <w:pPr>
              <w:tabs>
                <w:tab w:val="left" w:pos="1800"/>
              </w:tabs>
              <w:spacing w:after="60"/>
              <w:rPr>
                <w:noProof/>
                <w:sz w:val="22"/>
                <w:szCs w:val="22"/>
              </w:rPr>
            </w:pPr>
            <w:r w:rsidRPr="00180B05">
              <w:rPr>
                <w:noProof/>
                <w:sz w:val="22"/>
                <w:szCs w:val="22"/>
              </w:rPr>
              <w:t>The University Senate modifies the Academic Regulations r</w:t>
            </w:r>
            <w:r w:rsidR="00D43E69">
              <w:rPr>
                <w:noProof/>
                <w:sz w:val="22"/>
                <w:szCs w:val="22"/>
              </w:rPr>
              <w:t>egarding the summer calendar</w:t>
            </w:r>
            <w:r w:rsidR="00DA5418">
              <w:rPr>
                <w:noProof/>
                <w:sz w:val="22"/>
                <w:szCs w:val="22"/>
              </w:rPr>
              <w:t>, beginning in Summer 2027,</w:t>
            </w:r>
            <w:r w:rsidR="00D43E69">
              <w:rPr>
                <w:noProof/>
                <w:sz w:val="22"/>
                <w:szCs w:val="22"/>
              </w:rPr>
              <w:t xml:space="preserve"> to </w:t>
            </w:r>
            <w:r w:rsidR="00290D21">
              <w:rPr>
                <w:noProof/>
                <w:sz w:val="22"/>
                <w:szCs w:val="22"/>
              </w:rPr>
              <w:t>allow for instructional innovation and</w:t>
            </w:r>
            <w:r w:rsidR="00DA5418">
              <w:rPr>
                <w:noProof/>
                <w:sz w:val="22"/>
                <w:szCs w:val="22"/>
              </w:rPr>
              <w:t xml:space="preserve"> an</w:t>
            </w:r>
            <w:r w:rsidR="00290D21">
              <w:rPr>
                <w:noProof/>
                <w:sz w:val="22"/>
                <w:szCs w:val="22"/>
              </w:rPr>
              <w:t xml:space="preserve"> improved student experienc</w:t>
            </w:r>
            <w:r w:rsidR="00DA5418">
              <w:rPr>
                <w:noProof/>
                <w:sz w:val="22"/>
                <w:szCs w:val="22"/>
              </w:rPr>
              <w:t>e</w:t>
            </w:r>
            <w:r w:rsidRPr="00180B05">
              <w:rPr>
                <w:noProof/>
                <w:sz w:val="22"/>
                <w:szCs w:val="22"/>
              </w:rPr>
              <w:t>.</w:t>
            </w:r>
          </w:p>
        </w:tc>
      </w:tr>
    </w:tbl>
    <w:p w14:paraId="3BFEFBCD" w14:textId="77777777" w:rsidR="00854556" w:rsidRPr="00180B05" w:rsidRDefault="00854556" w:rsidP="00854556">
      <w:pPr>
        <w:tabs>
          <w:tab w:val="left" w:pos="1800"/>
        </w:tabs>
        <w:spacing w:after="0"/>
        <w:rPr>
          <w:b/>
          <w:bCs/>
          <w:noProof/>
          <w:sz w:val="22"/>
          <w:szCs w:val="22"/>
        </w:rPr>
      </w:pPr>
    </w:p>
    <w:p w14:paraId="711F8749" w14:textId="77777777" w:rsidR="002F0D6E" w:rsidRPr="00180B05" w:rsidRDefault="002F0D6E" w:rsidP="00854556">
      <w:pPr>
        <w:tabs>
          <w:tab w:val="left" w:pos="1800"/>
        </w:tabs>
        <w:spacing w:after="0"/>
        <w:rPr>
          <w:b/>
          <w:bCs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0D6E" w:rsidRPr="00180B05" w14:paraId="26C5B0A8" w14:textId="77777777" w:rsidTr="2C59F7BC">
        <w:tc>
          <w:tcPr>
            <w:tcW w:w="4788" w:type="dxa"/>
          </w:tcPr>
          <w:p w14:paraId="5E1C60C1" w14:textId="23670677" w:rsidR="002F0D6E" w:rsidRPr="00180B05" w:rsidRDefault="002F0D6E" w:rsidP="002F0D6E">
            <w:pPr>
              <w:tabs>
                <w:tab w:val="left" w:pos="1800"/>
              </w:tabs>
              <w:spacing w:before="120" w:after="12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b/>
                <w:bCs/>
                <w:noProof/>
                <w:sz w:val="22"/>
                <w:szCs w:val="22"/>
              </w:rPr>
              <w:t>ORIGINAL LANGUAGE</w:t>
            </w:r>
          </w:p>
        </w:tc>
        <w:tc>
          <w:tcPr>
            <w:tcW w:w="4788" w:type="dxa"/>
          </w:tcPr>
          <w:p w14:paraId="01B8BA0A" w14:textId="442DBF63" w:rsidR="002F0D6E" w:rsidRPr="00180B05" w:rsidRDefault="002F0D6E" w:rsidP="002F0D6E">
            <w:pPr>
              <w:tabs>
                <w:tab w:val="left" w:pos="1800"/>
              </w:tabs>
              <w:spacing w:before="120" w:after="12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80B05">
              <w:rPr>
                <w:b/>
                <w:bCs/>
                <w:noProof/>
                <w:sz w:val="22"/>
                <w:szCs w:val="22"/>
              </w:rPr>
              <w:t>PROPOSED LANGUAGE</w:t>
            </w:r>
          </w:p>
        </w:tc>
      </w:tr>
      <w:tr w:rsidR="00E42E38" w:rsidRPr="00180B05" w14:paraId="5F2CE616" w14:textId="77777777" w:rsidTr="2C59F7BC">
        <w:tc>
          <w:tcPr>
            <w:tcW w:w="4788" w:type="dxa"/>
          </w:tcPr>
          <w:p w14:paraId="51FA3835" w14:textId="4CEE560D" w:rsidR="00E42E38" w:rsidRPr="00180B05" w:rsidRDefault="00E42E38" w:rsidP="00E42E38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bookmarkStart w:id="0" w:name="b-auditor"/>
            <w:r w:rsidRPr="00180B05">
              <w:rPr>
                <w:noProof/>
                <w:sz w:val="22"/>
                <w:szCs w:val="22"/>
              </w:rPr>
              <w:t xml:space="preserve">B. </w:t>
            </w:r>
            <w:bookmarkEnd w:id="0"/>
            <w:r>
              <w:rPr>
                <w:noProof/>
                <w:sz w:val="22"/>
                <w:szCs w:val="22"/>
              </w:rPr>
              <w:t>Academic Calendar</w:t>
            </w:r>
          </w:p>
          <w:p w14:paraId="453667AE" w14:textId="68843BEC" w:rsidR="00E42E38" w:rsidRDefault="00E42E38" w:rsidP="00E42E38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E46AF4">
              <w:rPr>
                <w:noProof/>
                <w:sz w:val="22"/>
                <w:szCs w:val="22"/>
              </w:rPr>
              <w:t>(revised by University Senate Document 21-23, February 21, 2022)</w:t>
            </w:r>
          </w:p>
          <w:p w14:paraId="5B42E3C4" w14:textId="77777777" w:rsidR="00E42E38" w:rsidRPr="00180B05" w:rsidRDefault="00E42E38" w:rsidP="00E42E38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</w:p>
          <w:p w14:paraId="6A767699" w14:textId="77777777" w:rsidR="00E42E38" w:rsidRPr="0001624A" w:rsidRDefault="00E42E38" w:rsidP="00E42E38">
            <w:pPr>
              <w:numPr>
                <w:ilvl w:val="0"/>
                <w:numId w:val="6"/>
              </w:numPr>
              <w:tabs>
                <w:tab w:val="clear" w:pos="720"/>
                <w:tab w:val="left" w:pos="1800"/>
              </w:tabs>
              <w:ind w:left="360"/>
              <w:rPr>
                <w:noProof/>
                <w:sz w:val="22"/>
                <w:szCs w:val="22"/>
              </w:rPr>
            </w:pPr>
            <w:r w:rsidRPr="0001624A">
              <w:rPr>
                <w:noProof/>
                <w:sz w:val="22"/>
                <w:szCs w:val="22"/>
              </w:rPr>
              <w:t>Courses are scheduled during the academic year and summer session. The academic year shall consist of two 16-week semesters. Summer session(s) may be one 4-week and one 8-week or two 6-week or other configurations as approved by the Provost’s Office. In each semester/session, classes shall begin with the first instructional period of the first day.</w:t>
            </w:r>
          </w:p>
          <w:p w14:paraId="0BE5BF60" w14:textId="77777777" w:rsidR="00E42E38" w:rsidRDefault="00E42E38" w:rsidP="00E42E38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  <w:p w14:paraId="717E2DA3" w14:textId="77777777" w:rsidR="00E42E38" w:rsidRDefault="00E42E38" w:rsidP="00E42E38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  <w:p w14:paraId="7C43FECD" w14:textId="3AED3CC2" w:rsidR="00E42E38" w:rsidRPr="00CE082F" w:rsidRDefault="00E42E38" w:rsidP="00E42E38">
            <w:pPr>
              <w:pStyle w:val="ListParagraph"/>
              <w:numPr>
                <w:ilvl w:val="0"/>
                <w:numId w:val="5"/>
              </w:numPr>
              <w:tabs>
                <w:tab w:val="left" w:pos="1800"/>
              </w:tabs>
              <w:ind w:left="360"/>
              <w:rPr>
                <w:noProof/>
                <w:sz w:val="22"/>
                <w:szCs w:val="22"/>
              </w:rPr>
            </w:pPr>
            <w:r w:rsidRPr="00CE082F">
              <w:rPr>
                <w:noProof/>
                <w:sz w:val="22"/>
                <w:szCs w:val="22"/>
              </w:rPr>
              <w:lastRenderedPageBreak/>
              <w:t>The summer session shall begin on the next Monday following the spring commencement and will be comprised of one 4-week and one 8-week, or two 6-week module(s) or other configurations as approved by the Provost Office. Courses may be scheduled during any one or any combination of modules throughout the 12-week period. There shall be no classes on Memorial Day, the last Monday in May, or on July 4, nor on the nearest class day when July 4 is not a regular class day.</w:t>
            </w:r>
            <w:r w:rsidR="007C3CBF">
              <w:rPr>
                <w:noProof/>
                <w:sz w:val="22"/>
                <w:szCs w:val="22"/>
              </w:rPr>
              <w:t xml:space="preserve"> </w:t>
            </w:r>
            <w:r w:rsidRPr="00CE082F">
              <w:rPr>
                <w:noProof/>
                <w:sz w:val="22"/>
                <w:szCs w:val="22"/>
              </w:rPr>
              <w:t>(University Senate Document 96-4, February 17, 1997).</w:t>
            </w:r>
          </w:p>
          <w:p w14:paraId="0916D828" w14:textId="06EA6D79" w:rsidR="00E42E38" w:rsidRPr="00180B05" w:rsidRDefault="00E42E38" w:rsidP="00E42E38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788" w:type="dxa"/>
          </w:tcPr>
          <w:p w14:paraId="55313F69" w14:textId="77777777" w:rsidR="00E42E38" w:rsidRPr="00180B05" w:rsidRDefault="00E42E38" w:rsidP="00E42E38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180B05">
              <w:rPr>
                <w:noProof/>
                <w:sz w:val="22"/>
                <w:szCs w:val="22"/>
              </w:rPr>
              <w:lastRenderedPageBreak/>
              <w:t xml:space="preserve">B. </w:t>
            </w:r>
            <w:r>
              <w:rPr>
                <w:noProof/>
                <w:sz w:val="22"/>
                <w:szCs w:val="22"/>
              </w:rPr>
              <w:t>Academic Calendar</w:t>
            </w:r>
          </w:p>
          <w:p w14:paraId="5D5A74F0" w14:textId="77777777" w:rsidR="00E42E38" w:rsidRDefault="00E42E38" w:rsidP="00E42E38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E46AF4">
              <w:rPr>
                <w:noProof/>
                <w:sz w:val="22"/>
                <w:szCs w:val="22"/>
              </w:rPr>
              <w:t>(revised by University Senate Document 21-23, February 21, 2022)</w:t>
            </w:r>
          </w:p>
          <w:p w14:paraId="7244F433" w14:textId="77777777" w:rsidR="00E42E38" w:rsidRPr="00180B05" w:rsidRDefault="00E42E38" w:rsidP="00E42E38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</w:p>
          <w:p w14:paraId="5A5940A3" w14:textId="09C58F8B" w:rsidR="00E42E38" w:rsidRPr="0001624A" w:rsidRDefault="00E42E38" w:rsidP="00E42E38">
            <w:pPr>
              <w:numPr>
                <w:ilvl w:val="0"/>
                <w:numId w:val="2"/>
              </w:numPr>
              <w:tabs>
                <w:tab w:val="clear" w:pos="720"/>
                <w:tab w:val="left" w:pos="1800"/>
              </w:tabs>
              <w:ind w:left="346"/>
              <w:rPr>
                <w:noProof/>
                <w:sz w:val="22"/>
                <w:szCs w:val="22"/>
              </w:rPr>
            </w:pPr>
            <w:r w:rsidRPr="2C59F7BC">
              <w:rPr>
                <w:noProof/>
                <w:sz w:val="22"/>
                <w:szCs w:val="22"/>
              </w:rPr>
              <w:t xml:space="preserve">Courses are scheduled during the academic year and summer session. The academic year shall consist of two 16-week semesters. Summer session(s) </w:t>
            </w:r>
            <w:r w:rsidR="00023755" w:rsidRPr="2C59F7BC">
              <w:rPr>
                <w:b/>
                <w:bCs/>
                <w:noProof/>
                <w:sz w:val="22"/>
                <w:szCs w:val="22"/>
              </w:rPr>
              <w:t>shall</w:t>
            </w:r>
            <w:r w:rsidRPr="2C59F7BC">
              <w:rPr>
                <w:b/>
                <w:bCs/>
                <w:noProof/>
                <w:sz w:val="22"/>
                <w:szCs w:val="22"/>
              </w:rPr>
              <w:t xml:space="preserve"> be </w:t>
            </w:r>
            <w:r w:rsidR="00023755" w:rsidRPr="2C59F7BC">
              <w:rPr>
                <w:b/>
                <w:bCs/>
                <w:noProof/>
                <w:sz w:val="22"/>
                <w:szCs w:val="22"/>
              </w:rPr>
              <w:t>a 14-week term</w:t>
            </w:r>
            <w:r w:rsidR="00024973" w:rsidRPr="2C59F7BC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024973" w:rsidRPr="00DA5418">
              <w:rPr>
                <w:b/>
                <w:bCs/>
                <w:noProof/>
                <w:sz w:val="22"/>
                <w:szCs w:val="22"/>
              </w:rPr>
              <w:t>comprised of</w:t>
            </w:r>
            <w:r w:rsidRPr="2C59F7BC">
              <w:rPr>
                <w:noProof/>
                <w:sz w:val="22"/>
                <w:szCs w:val="22"/>
              </w:rPr>
              <w:t xml:space="preserve">  </w:t>
            </w:r>
            <w:r w:rsidR="0019080F" w:rsidRPr="2C59F7BC">
              <w:rPr>
                <w:strike/>
                <w:noProof/>
                <w:sz w:val="22"/>
                <w:szCs w:val="22"/>
              </w:rPr>
              <w:t>one 4-week and one 8-week or two 6-week or other</w:t>
            </w:r>
            <w:r w:rsidR="0019080F" w:rsidRPr="2C59F7BC">
              <w:rPr>
                <w:noProof/>
                <w:sz w:val="22"/>
                <w:szCs w:val="22"/>
              </w:rPr>
              <w:t xml:space="preserve"> </w:t>
            </w:r>
            <w:r w:rsidRPr="2C59F7BC">
              <w:rPr>
                <w:noProof/>
                <w:sz w:val="22"/>
                <w:szCs w:val="22"/>
              </w:rPr>
              <w:t xml:space="preserve">configurations as approved by the Provost’s Office. In each semester/session, classes shall begin with the first </w:t>
            </w:r>
            <w:r w:rsidR="00DA5418" w:rsidRPr="00DA5418">
              <w:rPr>
                <w:b/>
                <w:bCs/>
                <w:noProof/>
                <w:sz w:val="22"/>
                <w:szCs w:val="22"/>
              </w:rPr>
              <w:t>day of the</w:t>
            </w:r>
            <w:r w:rsidR="00DA5418">
              <w:rPr>
                <w:noProof/>
                <w:sz w:val="22"/>
                <w:szCs w:val="22"/>
              </w:rPr>
              <w:t xml:space="preserve"> </w:t>
            </w:r>
            <w:r w:rsidRPr="2C59F7BC">
              <w:rPr>
                <w:noProof/>
                <w:sz w:val="22"/>
                <w:szCs w:val="22"/>
              </w:rPr>
              <w:t xml:space="preserve">instructional period </w:t>
            </w:r>
            <w:r w:rsidRPr="00DA5418">
              <w:rPr>
                <w:strike/>
                <w:noProof/>
                <w:sz w:val="22"/>
                <w:szCs w:val="22"/>
              </w:rPr>
              <w:t>of the first day</w:t>
            </w:r>
            <w:r w:rsidRPr="2C59F7BC">
              <w:rPr>
                <w:noProof/>
                <w:sz w:val="22"/>
                <w:szCs w:val="22"/>
              </w:rPr>
              <w:t>.</w:t>
            </w:r>
          </w:p>
          <w:p w14:paraId="1573EA61" w14:textId="77777777" w:rsidR="00E42E38" w:rsidRDefault="00E42E38" w:rsidP="00E42E38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  <w:p w14:paraId="1AF3533F" w14:textId="78D44F37" w:rsidR="00E42E38" w:rsidRPr="00E42E38" w:rsidRDefault="00E42E38" w:rsidP="00E42E38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ind w:left="346"/>
              <w:rPr>
                <w:noProof/>
                <w:sz w:val="22"/>
                <w:szCs w:val="22"/>
              </w:rPr>
            </w:pPr>
            <w:r w:rsidRPr="2C59F7BC">
              <w:rPr>
                <w:noProof/>
                <w:sz w:val="22"/>
                <w:szCs w:val="22"/>
              </w:rPr>
              <w:lastRenderedPageBreak/>
              <w:t xml:space="preserve">The summer session shall begin on the </w:t>
            </w:r>
            <w:r w:rsidRPr="2C59F7BC">
              <w:rPr>
                <w:strike/>
                <w:noProof/>
                <w:sz w:val="22"/>
                <w:szCs w:val="22"/>
              </w:rPr>
              <w:t>next</w:t>
            </w:r>
            <w:r w:rsidRPr="2C59F7BC">
              <w:rPr>
                <w:noProof/>
                <w:sz w:val="22"/>
                <w:szCs w:val="22"/>
              </w:rPr>
              <w:t xml:space="preserve"> Monday following the</w:t>
            </w:r>
            <w:r w:rsidR="00784A33" w:rsidRPr="2C59F7BC">
              <w:rPr>
                <w:noProof/>
                <w:sz w:val="22"/>
                <w:szCs w:val="22"/>
              </w:rPr>
              <w:t xml:space="preserve"> </w:t>
            </w:r>
            <w:r w:rsidR="00784A33" w:rsidRPr="2C59F7BC">
              <w:rPr>
                <w:b/>
                <w:bCs/>
                <w:noProof/>
                <w:sz w:val="22"/>
                <w:szCs w:val="22"/>
              </w:rPr>
              <w:t xml:space="preserve">final </w:t>
            </w:r>
            <w:r w:rsidR="00DA5418">
              <w:rPr>
                <w:b/>
                <w:bCs/>
                <w:noProof/>
                <w:sz w:val="22"/>
                <w:szCs w:val="22"/>
              </w:rPr>
              <w:t>day</w:t>
            </w:r>
            <w:r w:rsidR="00784A33" w:rsidRPr="2C59F7BC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D45E5D" w:rsidRPr="2C59F7BC">
              <w:rPr>
                <w:b/>
                <w:bCs/>
                <w:noProof/>
                <w:sz w:val="22"/>
                <w:szCs w:val="22"/>
              </w:rPr>
              <w:t>of the spring term</w:t>
            </w:r>
            <w:r w:rsidR="00784A33" w:rsidRPr="2C59F7BC">
              <w:rPr>
                <w:noProof/>
                <w:color w:val="FF0000"/>
                <w:sz w:val="22"/>
                <w:szCs w:val="22"/>
              </w:rPr>
              <w:t xml:space="preserve"> </w:t>
            </w:r>
            <w:r w:rsidRPr="2C59F7BC">
              <w:rPr>
                <w:strike/>
                <w:noProof/>
                <w:sz w:val="22"/>
                <w:szCs w:val="22"/>
              </w:rPr>
              <w:t>spring commencement</w:t>
            </w:r>
            <w:r w:rsidRPr="2C59F7BC">
              <w:rPr>
                <w:noProof/>
                <w:sz w:val="22"/>
                <w:szCs w:val="22"/>
              </w:rPr>
              <w:t xml:space="preserve"> and will be comprised of</w:t>
            </w:r>
            <w:r w:rsidR="00D45E5D" w:rsidRPr="2C59F7BC">
              <w:rPr>
                <w:noProof/>
                <w:sz w:val="22"/>
                <w:szCs w:val="22"/>
              </w:rPr>
              <w:t xml:space="preserve"> </w:t>
            </w:r>
            <w:r w:rsidR="00D45E5D" w:rsidRPr="2C59F7BC">
              <w:rPr>
                <w:b/>
                <w:bCs/>
                <w:noProof/>
                <w:sz w:val="22"/>
                <w:szCs w:val="22"/>
              </w:rPr>
              <w:t>at least one 14-week module</w:t>
            </w:r>
            <w:r w:rsidR="00622EA7" w:rsidRPr="2C59F7BC">
              <w:rPr>
                <w:noProof/>
                <w:sz w:val="22"/>
                <w:szCs w:val="22"/>
              </w:rPr>
              <w:t>,</w:t>
            </w:r>
            <w:r w:rsidRPr="2C59F7BC">
              <w:rPr>
                <w:noProof/>
                <w:sz w:val="22"/>
                <w:szCs w:val="22"/>
              </w:rPr>
              <w:t xml:space="preserve"> one 4-week and one 8-week, </w:t>
            </w:r>
            <w:r w:rsidRPr="2C59F7BC">
              <w:rPr>
                <w:strike/>
                <w:noProof/>
                <w:sz w:val="22"/>
                <w:szCs w:val="22"/>
              </w:rPr>
              <w:t>or two 6-week module(s)</w:t>
            </w:r>
            <w:r w:rsidRPr="2C59F7BC">
              <w:rPr>
                <w:noProof/>
                <w:sz w:val="22"/>
                <w:szCs w:val="22"/>
              </w:rPr>
              <w:t xml:space="preserve"> or other configurations as approved by the Provost Office. </w:t>
            </w:r>
            <w:r w:rsidR="00035E96" w:rsidRPr="2C59F7BC">
              <w:rPr>
                <w:b/>
                <w:bCs/>
                <w:noProof/>
                <w:sz w:val="22"/>
                <w:szCs w:val="22"/>
              </w:rPr>
              <w:t>Graduate</w:t>
            </w:r>
            <w:r w:rsidR="00035E96" w:rsidRPr="2C59F7BC">
              <w:rPr>
                <w:noProof/>
                <w:sz w:val="22"/>
                <w:szCs w:val="22"/>
              </w:rPr>
              <w:t xml:space="preserve"> c</w:t>
            </w:r>
            <w:r w:rsidRPr="2C59F7BC">
              <w:rPr>
                <w:noProof/>
                <w:sz w:val="22"/>
                <w:szCs w:val="22"/>
              </w:rPr>
              <w:t xml:space="preserve">ourses may be scheduled during any one or any combination of modules throughout the </w:t>
            </w:r>
            <w:r w:rsidR="00F31803" w:rsidRPr="2C59F7BC">
              <w:rPr>
                <w:b/>
                <w:bCs/>
                <w:noProof/>
                <w:sz w:val="22"/>
                <w:szCs w:val="22"/>
              </w:rPr>
              <w:t>14</w:t>
            </w:r>
            <w:r w:rsidRPr="2C59F7BC">
              <w:rPr>
                <w:b/>
                <w:bCs/>
                <w:noProof/>
                <w:sz w:val="22"/>
                <w:szCs w:val="22"/>
              </w:rPr>
              <w:t>-</w:t>
            </w:r>
            <w:r w:rsidRPr="2C59F7BC">
              <w:rPr>
                <w:noProof/>
                <w:sz w:val="22"/>
                <w:szCs w:val="22"/>
              </w:rPr>
              <w:t>week period</w:t>
            </w:r>
            <w:r w:rsidR="00035E96" w:rsidRPr="2C59F7BC">
              <w:rPr>
                <w:b/>
                <w:bCs/>
                <w:noProof/>
                <w:sz w:val="22"/>
                <w:szCs w:val="22"/>
              </w:rPr>
              <w:t>; undergraduate courses may not be scheduled during the first week after the spring semester</w:t>
            </w:r>
            <w:r w:rsidRPr="2C59F7BC">
              <w:rPr>
                <w:b/>
                <w:bCs/>
                <w:noProof/>
                <w:sz w:val="22"/>
                <w:szCs w:val="22"/>
              </w:rPr>
              <w:t xml:space="preserve">. </w:t>
            </w:r>
            <w:r w:rsidRPr="2C59F7BC">
              <w:rPr>
                <w:noProof/>
                <w:sz w:val="22"/>
                <w:szCs w:val="22"/>
              </w:rPr>
              <w:t>There shall be no classes on Memorial Day, the last Monday in May, or on July 4, nor on the nearest class day when July 4 is not a regular class day.</w:t>
            </w:r>
            <w:r w:rsidR="00B54BBF" w:rsidRPr="2C59F7BC">
              <w:rPr>
                <w:noProof/>
                <w:sz w:val="22"/>
                <w:szCs w:val="22"/>
              </w:rPr>
              <w:t xml:space="preserve"> </w:t>
            </w:r>
            <w:r w:rsidRPr="2C59F7BC">
              <w:rPr>
                <w:noProof/>
                <w:sz w:val="22"/>
                <w:szCs w:val="22"/>
              </w:rPr>
              <w:t>(University Senate Document 96-4, February 17, 1997).</w:t>
            </w:r>
          </w:p>
          <w:p w14:paraId="4C6F26B6" w14:textId="1D1F2A58" w:rsidR="00E42E38" w:rsidRPr="00180B05" w:rsidRDefault="00E42E38" w:rsidP="00E42E38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14:paraId="4ED31D63" w14:textId="77777777" w:rsidR="002F0D6E" w:rsidRPr="00180B05" w:rsidRDefault="002F0D6E" w:rsidP="00854556">
      <w:pPr>
        <w:tabs>
          <w:tab w:val="left" w:pos="1800"/>
        </w:tabs>
        <w:spacing w:after="0"/>
        <w:rPr>
          <w:b/>
          <w:bCs/>
          <w:noProof/>
          <w:sz w:val="22"/>
          <w:szCs w:val="22"/>
        </w:rPr>
      </w:pPr>
    </w:p>
    <w:p w14:paraId="24779DE5" w14:textId="1406E0AE" w:rsidR="2C59F7BC" w:rsidRDefault="2C59F7BC">
      <w:r>
        <w:br w:type="page"/>
      </w:r>
    </w:p>
    <w:p w14:paraId="55161027" w14:textId="5B16DEED" w:rsidR="57FC603E" w:rsidRDefault="57FC603E" w:rsidP="2C59F7BC">
      <w:pPr>
        <w:tabs>
          <w:tab w:val="left" w:pos="1800"/>
        </w:tabs>
        <w:spacing w:after="0"/>
        <w:rPr>
          <w:b/>
          <w:bCs/>
          <w:noProof/>
          <w:sz w:val="22"/>
          <w:szCs w:val="22"/>
        </w:rPr>
      </w:pPr>
      <w:r w:rsidRPr="2C59F7BC">
        <w:rPr>
          <w:b/>
          <w:bCs/>
          <w:noProof/>
          <w:sz w:val="22"/>
          <w:szCs w:val="22"/>
        </w:rPr>
        <w:lastRenderedPageBreak/>
        <w:t>Committee Votes:</w:t>
      </w:r>
    </w:p>
    <w:p w14:paraId="50260A02" w14:textId="60BCF2D2" w:rsidR="2C59F7BC" w:rsidRDefault="2C59F7BC" w:rsidP="2C59F7BC">
      <w:pPr>
        <w:tabs>
          <w:tab w:val="left" w:pos="1800"/>
        </w:tabs>
        <w:spacing w:after="0"/>
        <w:rPr>
          <w:b/>
          <w:bCs/>
          <w:noProof/>
          <w:sz w:val="22"/>
          <w:szCs w:val="22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998"/>
        <w:gridCol w:w="2394"/>
        <w:gridCol w:w="2394"/>
      </w:tblGrid>
      <w:tr w:rsidR="00EA5578" w14:paraId="04A2D966" w14:textId="77777777" w:rsidTr="31224F2D">
        <w:tc>
          <w:tcPr>
            <w:tcW w:w="2790" w:type="dxa"/>
          </w:tcPr>
          <w:p w14:paraId="1B4656F4" w14:textId="0FB7860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For</w:t>
            </w:r>
          </w:p>
        </w:tc>
        <w:tc>
          <w:tcPr>
            <w:tcW w:w="1998" w:type="dxa"/>
          </w:tcPr>
          <w:p w14:paraId="7482A0E9" w14:textId="3CF95394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Against</w:t>
            </w:r>
          </w:p>
        </w:tc>
        <w:tc>
          <w:tcPr>
            <w:tcW w:w="2394" w:type="dxa"/>
          </w:tcPr>
          <w:p w14:paraId="5263F56B" w14:textId="5476AB7A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Abstain</w:t>
            </w:r>
          </w:p>
        </w:tc>
        <w:tc>
          <w:tcPr>
            <w:tcW w:w="2394" w:type="dxa"/>
          </w:tcPr>
          <w:p w14:paraId="5FCADD90" w14:textId="337BBC1A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Absent</w:t>
            </w:r>
          </w:p>
        </w:tc>
      </w:tr>
      <w:tr w:rsidR="00EA5578" w14:paraId="488F985A" w14:textId="77777777" w:rsidTr="31224F2D">
        <w:tc>
          <w:tcPr>
            <w:tcW w:w="2790" w:type="dxa"/>
          </w:tcPr>
          <w:p w14:paraId="767AC9BC" w14:textId="0228215A" w:rsidR="00EA5578" w:rsidRPr="007A2B5E" w:rsidRDefault="00C55610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Antonia Barreto</w:t>
            </w:r>
          </w:p>
        </w:tc>
        <w:tc>
          <w:tcPr>
            <w:tcW w:w="1998" w:type="dxa"/>
          </w:tcPr>
          <w:p w14:paraId="5F9A2D87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38D17407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565CFE2B" w14:textId="16CFFA01" w:rsidR="00EA5578" w:rsidRPr="007A2B5E" w:rsidRDefault="00646D09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Abdelfattah Nour</w:t>
            </w:r>
          </w:p>
        </w:tc>
      </w:tr>
      <w:tr w:rsidR="00EA5578" w14:paraId="520C52A3" w14:textId="77777777" w:rsidTr="31224F2D">
        <w:tc>
          <w:tcPr>
            <w:tcW w:w="2790" w:type="dxa"/>
          </w:tcPr>
          <w:p w14:paraId="47D4A1A4" w14:textId="4511C47D" w:rsidR="00EA5578" w:rsidRPr="007A2B5E" w:rsidRDefault="00C55610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Ashley Bellet</w:t>
            </w:r>
          </w:p>
        </w:tc>
        <w:tc>
          <w:tcPr>
            <w:tcW w:w="1998" w:type="dxa"/>
          </w:tcPr>
          <w:p w14:paraId="4349EE77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064E1590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7C9DEFFA" w14:textId="46735651" w:rsidR="00EA5578" w:rsidRPr="007A2B5E" w:rsidRDefault="00646D09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John Sheffield</w:t>
            </w:r>
          </w:p>
        </w:tc>
      </w:tr>
      <w:tr w:rsidR="00EA5578" w14:paraId="351CF2CD" w14:textId="77777777" w:rsidTr="31224F2D">
        <w:tc>
          <w:tcPr>
            <w:tcW w:w="2790" w:type="dxa"/>
          </w:tcPr>
          <w:p w14:paraId="3DCB2AFB" w14:textId="6D187D0F" w:rsidR="00EA5578" w:rsidRPr="007A2B5E" w:rsidRDefault="00C55610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Casey Krusemark</w:t>
            </w:r>
          </w:p>
        </w:tc>
        <w:tc>
          <w:tcPr>
            <w:tcW w:w="1998" w:type="dxa"/>
          </w:tcPr>
          <w:p w14:paraId="363CAB03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50796509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5C25E708" w14:textId="36915601" w:rsidR="00EA5578" w:rsidRPr="007A2B5E" w:rsidRDefault="00646D09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 xml:space="preserve">Thomas </w:t>
            </w:r>
            <w:r w:rsidRPr="17CE264F">
              <w:rPr>
                <w:noProof/>
                <w:sz w:val="22"/>
                <w:szCs w:val="22"/>
              </w:rPr>
              <w:t>Bru</w:t>
            </w:r>
            <w:r w:rsidR="00BA2662">
              <w:rPr>
                <w:noProof/>
                <w:sz w:val="22"/>
                <w:szCs w:val="22"/>
              </w:rPr>
              <w:t>s</w:t>
            </w:r>
            <w:r w:rsidRPr="17CE264F">
              <w:rPr>
                <w:noProof/>
                <w:sz w:val="22"/>
                <w:szCs w:val="22"/>
              </w:rPr>
              <w:t>h</w:t>
            </w:r>
          </w:p>
        </w:tc>
      </w:tr>
      <w:tr w:rsidR="00EA5578" w14:paraId="07925502" w14:textId="77777777" w:rsidTr="31224F2D">
        <w:tc>
          <w:tcPr>
            <w:tcW w:w="2790" w:type="dxa"/>
          </w:tcPr>
          <w:p w14:paraId="329B7498" w14:textId="3BCEA71B" w:rsidR="00EA5578" w:rsidRPr="007A2B5E" w:rsidRDefault="00C55610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Haley Oliver-Jischke</w:t>
            </w:r>
            <w:r w:rsidR="00C80158">
              <w:rPr>
                <w:noProof/>
                <w:sz w:val="22"/>
                <w:szCs w:val="22"/>
              </w:rPr>
              <w:t xml:space="preserve"> </w:t>
            </w:r>
            <w:r w:rsidR="00920E0E">
              <w:rPr>
                <w:noProof/>
                <w:sz w:val="22"/>
                <w:szCs w:val="22"/>
              </w:rPr>
              <w:t>(A)</w:t>
            </w:r>
          </w:p>
        </w:tc>
        <w:tc>
          <w:tcPr>
            <w:tcW w:w="1998" w:type="dxa"/>
          </w:tcPr>
          <w:p w14:paraId="10D4C80F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4E0B9CF3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2E90E447" w14:textId="2B32AE16" w:rsidR="00EA5578" w:rsidRPr="007A2B5E" w:rsidRDefault="007F5347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Yuli Lyanda-Gellar</w:t>
            </w:r>
          </w:p>
        </w:tc>
      </w:tr>
      <w:tr w:rsidR="00EA5578" w14:paraId="2BDA42C6" w14:textId="77777777" w:rsidTr="31224F2D">
        <w:tc>
          <w:tcPr>
            <w:tcW w:w="2790" w:type="dxa"/>
          </w:tcPr>
          <w:p w14:paraId="13D3DFB5" w14:textId="0E45FFFD" w:rsidR="00EA5578" w:rsidRPr="007A2B5E" w:rsidRDefault="00C55610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Jeff Elliott (A)</w:t>
            </w:r>
          </w:p>
        </w:tc>
        <w:tc>
          <w:tcPr>
            <w:tcW w:w="1998" w:type="dxa"/>
          </w:tcPr>
          <w:p w14:paraId="4239DC26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40BF7CE4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0D26FD90" w14:textId="068A0392" w:rsidR="00EA5578" w:rsidRPr="007A2B5E" w:rsidRDefault="0072102C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Steven Scott</w:t>
            </w:r>
          </w:p>
        </w:tc>
      </w:tr>
      <w:tr w:rsidR="00EA5578" w14:paraId="73A09B72" w14:textId="77777777" w:rsidTr="31224F2D">
        <w:tc>
          <w:tcPr>
            <w:tcW w:w="2790" w:type="dxa"/>
          </w:tcPr>
          <w:p w14:paraId="6F406804" w14:textId="498AA414" w:rsidR="00EA5578" w:rsidRPr="007A2B5E" w:rsidRDefault="003A7A75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Jeffery Stefancic (A)</w:t>
            </w:r>
          </w:p>
        </w:tc>
        <w:tc>
          <w:tcPr>
            <w:tcW w:w="1998" w:type="dxa"/>
          </w:tcPr>
          <w:p w14:paraId="14E3433D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6D973048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5C24320A" w14:textId="483BCDE8" w:rsidR="00EA5578" w:rsidRPr="007A2B5E" w:rsidRDefault="00EA5578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</w:p>
        </w:tc>
      </w:tr>
      <w:tr w:rsidR="00EA5578" w14:paraId="4CDD73D9" w14:textId="77777777" w:rsidTr="31224F2D">
        <w:tc>
          <w:tcPr>
            <w:tcW w:w="2790" w:type="dxa"/>
          </w:tcPr>
          <w:p w14:paraId="7378613E" w14:textId="45D5C7C8" w:rsidR="00EA5578" w:rsidRPr="007A2B5E" w:rsidRDefault="003A7A75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Julia Chester</w:t>
            </w:r>
          </w:p>
        </w:tc>
        <w:tc>
          <w:tcPr>
            <w:tcW w:w="1998" w:type="dxa"/>
          </w:tcPr>
          <w:p w14:paraId="6C3778E3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272595ED" w14:textId="77777777" w:rsidR="00EA5578" w:rsidRDefault="00EA5578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67F56981" w14:textId="02CAA8A6" w:rsidR="00EA5578" w:rsidRPr="007A2B5E" w:rsidRDefault="00EA5578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</w:p>
        </w:tc>
      </w:tr>
      <w:tr w:rsidR="003A7A75" w14:paraId="5960A09F" w14:textId="77777777" w:rsidTr="31224F2D">
        <w:tc>
          <w:tcPr>
            <w:tcW w:w="2790" w:type="dxa"/>
          </w:tcPr>
          <w:p w14:paraId="76BA2F1B" w14:textId="0C4A1785" w:rsidR="003A7A75" w:rsidRPr="007A2B5E" w:rsidRDefault="003A7A75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Meghan Bennett (S)</w:t>
            </w:r>
          </w:p>
        </w:tc>
        <w:tc>
          <w:tcPr>
            <w:tcW w:w="1998" w:type="dxa"/>
          </w:tcPr>
          <w:p w14:paraId="5FAE162B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34955719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603B2E00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3A7A75" w14:paraId="732420D3" w14:textId="77777777" w:rsidTr="31224F2D">
        <w:tc>
          <w:tcPr>
            <w:tcW w:w="2790" w:type="dxa"/>
          </w:tcPr>
          <w:p w14:paraId="03E06666" w14:textId="57CC6869" w:rsidR="003A7A75" w:rsidRPr="007A2B5E" w:rsidRDefault="003A7A75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Monica Torres</w:t>
            </w:r>
          </w:p>
        </w:tc>
        <w:tc>
          <w:tcPr>
            <w:tcW w:w="1998" w:type="dxa"/>
          </w:tcPr>
          <w:p w14:paraId="52C4FEEA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6A74491F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0A261C9B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3A7A75" w14:paraId="5FA02C01" w14:textId="77777777" w:rsidTr="31224F2D">
        <w:tc>
          <w:tcPr>
            <w:tcW w:w="2790" w:type="dxa"/>
          </w:tcPr>
          <w:p w14:paraId="1EE00CF5" w14:textId="5D36B2D8" w:rsidR="003A7A75" w:rsidRPr="007A2B5E" w:rsidRDefault="003A7A75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PV Ramachandran</w:t>
            </w:r>
          </w:p>
        </w:tc>
        <w:tc>
          <w:tcPr>
            <w:tcW w:w="1998" w:type="dxa"/>
          </w:tcPr>
          <w:p w14:paraId="145DCF53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6DE75F18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6038018B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3A7A75" w14:paraId="606577D8" w14:textId="77777777" w:rsidTr="31224F2D">
        <w:tc>
          <w:tcPr>
            <w:tcW w:w="2790" w:type="dxa"/>
          </w:tcPr>
          <w:p w14:paraId="2906CE7A" w14:textId="236C366A" w:rsidR="003A7A75" w:rsidRPr="007A2B5E" w:rsidRDefault="003A7A75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Paschal Amusuo</w:t>
            </w:r>
            <w:r w:rsidR="00613AF5" w:rsidRPr="007A2B5E">
              <w:rPr>
                <w:noProof/>
                <w:sz w:val="22"/>
                <w:szCs w:val="22"/>
              </w:rPr>
              <w:t xml:space="preserve"> (S)</w:t>
            </w:r>
          </w:p>
        </w:tc>
        <w:tc>
          <w:tcPr>
            <w:tcW w:w="1998" w:type="dxa"/>
          </w:tcPr>
          <w:p w14:paraId="052BD8EB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7E2D647E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2E752DA9" w14:textId="77777777" w:rsidR="003A7A75" w:rsidRDefault="003A7A7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13AF5" w14:paraId="33E330C3" w14:textId="77777777" w:rsidTr="31224F2D">
        <w:tc>
          <w:tcPr>
            <w:tcW w:w="2790" w:type="dxa"/>
          </w:tcPr>
          <w:p w14:paraId="244DFBCA" w14:textId="418DD3AD" w:rsidR="00613AF5" w:rsidRPr="007A2B5E" w:rsidRDefault="00613AF5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Sheila Hurt (A)</w:t>
            </w:r>
          </w:p>
        </w:tc>
        <w:tc>
          <w:tcPr>
            <w:tcW w:w="1998" w:type="dxa"/>
          </w:tcPr>
          <w:p w14:paraId="5EC144A1" w14:textId="77777777" w:rsidR="00613AF5" w:rsidRDefault="00613AF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3772C2EF" w14:textId="77777777" w:rsidR="00613AF5" w:rsidRDefault="00613AF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48AD1A9F" w14:textId="77777777" w:rsidR="00613AF5" w:rsidRDefault="00613AF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13AF5" w14:paraId="64EC43B1" w14:textId="77777777" w:rsidTr="31224F2D">
        <w:tc>
          <w:tcPr>
            <w:tcW w:w="2790" w:type="dxa"/>
          </w:tcPr>
          <w:p w14:paraId="45999A71" w14:textId="73069B43" w:rsidR="00613AF5" w:rsidRPr="007A2B5E" w:rsidRDefault="00613AF5" w:rsidP="2C59F7BC">
            <w:pPr>
              <w:tabs>
                <w:tab w:val="left" w:pos="1800"/>
              </w:tabs>
              <w:rPr>
                <w:noProof/>
                <w:sz w:val="22"/>
                <w:szCs w:val="22"/>
              </w:rPr>
            </w:pPr>
            <w:r w:rsidRPr="007A2B5E">
              <w:rPr>
                <w:noProof/>
                <w:sz w:val="22"/>
                <w:szCs w:val="22"/>
              </w:rPr>
              <w:t>Vincent Duffy</w:t>
            </w:r>
          </w:p>
        </w:tc>
        <w:tc>
          <w:tcPr>
            <w:tcW w:w="1998" w:type="dxa"/>
          </w:tcPr>
          <w:p w14:paraId="30C6C169" w14:textId="77777777" w:rsidR="00613AF5" w:rsidRDefault="00613AF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53F6A33F" w14:textId="77777777" w:rsidR="00613AF5" w:rsidRDefault="00613AF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2394" w:type="dxa"/>
          </w:tcPr>
          <w:p w14:paraId="37E19A61" w14:textId="77777777" w:rsidR="00613AF5" w:rsidRDefault="00613AF5" w:rsidP="2C59F7BC">
            <w:pPr>
              <w:tabs>
                <w:tab w:val="left" w:pos="1800"/>
              </w:tabs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14:paraId="053D7A7C" w14:textId="06939987" w:rsidR="57FC603E" w:rsidRDefault="57FC603E" w:rsidP="2C59F7BC">
      <w:pPr>
        <w:tabs>
          <w:tab w:val="left" w:pos="1800"/>
        </w:tabs>
        <w:spacing w:after="0"/>
        <w:rPr>
          <w:b/>
          <w:bCs/>
          <w:noProof/>
          <w:sz w:val="22"/>
          <w:szCs w:val="22"/>
        </w:rPr>
      </w:pPr>
    </w:p>
    <w:p w14:paraId="09134BE5" w14:textId="7E11C3E2" w:rsidR="00C80158" w:rsidRDefault="00C80158" w:rsidP="2C59F7BC">
      <w:pPr>
        <w:tabs>
          <w:tab w:val="left" w:pos="1800"/>
        </w:tabs>
        <w:spacing w:after="0"/>
        <w:rPr>
          <w:noProof/>
          <w:sz w:val="22"/>
          <w:szCs w:val="22"/>
        </w:rPr>
      </w:pPr>
      <w:r>
        <w:rPr>
          <w:noProof/>
          <w:sz w:val="22"/>
          <w:szCs w:val="22"/>
        </w:rPr>
        <w:t>(A)- Advisor</w:t>
      </w:r>
    </w:p>
    <w:p w14:paraId="046F94EF" w14:textId="7D9E451F" w:rsidR="00C80158" w:rsidRPr="00C80158" w:rsidRDefault="00C80158" w:rsidP="2C59F7BC">
      <w:pPr>
        <w:tabs>
          <w:tab w:val="left" w:pos="1800"/>
        </w:tabs>
        <w:spacing w:after="0"/>
        <w:rPr>
          <w:noProof/>
          <w:sz w:val="22"/>
          <w:szCs w:val="22"/>
        </w:rPr>
      </w:pPr>
      <w:r>
        <w:rPr>
          <w:noProof/>
          <w:sz w:val="22"/>
          <w:szCs w:val="22"/>
        </w:rPr>
        <w:t>(S)- Student</w:t>
      </w:r>
    </w:p>
    <w:sectPr w:rsidR="00C80158" w:rsidRPr="00C8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7322"/>
    <w:multiLevelType w:val="multilevel"/>
    <w:tmpl w:val="69D6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56C5D"/>
    <w:multiLevelType w:val="multilevel"/>
    <w:tmpl w:val="E578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16125"/>
    <w:multiLevelType w:val="hybridMultilevel"/>
    <w:tmpl w:val="3286A8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6F33"/>
    <w:multiLevelType w:val="multilevel"/>
    <w:tmpl w:val="69D6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B6987"/>
    <w:multiLevelType w:val="hybridMultilevel"/>
    <w:tmpl w:val="437A3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B084F"/>
    <w:multiLevelType w:val="hybridMultilevel"/>
    <w:tmpl w:val="BE1E06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96693">
    <w:abstractNumId w:val="1"/>
  </w:num>
  <w:num w:numId="2" w16cid:durableId="508644392">
    <w:abstractNumId w:val="0"/>
  </w:num>
  <w:num w:numId="3" w16cid:durableId="686059935">
    <w:abstractNumId w:val="4"/>
  </w:num>
  <w:num w:numId="4" w16cid:durableId="76634697">
    <w:abstractNumId w:val="5"/>
  </w:num>
  <w:num w:numId="5" w16cid:durableId="84500">
    <w:abstractNumId w:val="2"/>
  </w:num>
  <w:num w:numId="6" w16cid:durableId="910969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56"/>
    <w:rsid w:val="00002C40"/>
    <w:rsid w:val="00003C75"/>
    <w:rsid w:val="0001624A"/>
    <w:rsid w:val="00022984"/>
    <w:rsid w:val="00023755"/>
    <w:rsid w:val="00024973"/>
    <w:rsid w:val="00035E96"/>
    <w:rsid w:val="000B2F74"/>
    <w:rsid w:val="000D3669"/>
    <w:rsid w:val="000E0CBB"/>
    <w:rsid w:val="00133985"/>
    <w:rsid w:val="00137D7D"/>
    <w:rsid w:val="001433E5"/>
    <w:rsid w:val="00160896"/>
    <w:rsid w:val="00180B05"/>
    <w:rsid w:val="00187BD4"/>
    <w:rsid w:val="0019080F"/>
    <w:rsid w:val="001B3EB8"/>
    <w:rsid w:val="001C6DBB"/>
    <w:rsid w:val="001C7F27"/>
    <w:rsid w:val="001E2AC6"/>
    <w:rsid w:val="001E5031"/>
    <w:rsid w:val="001F2B5E"/>
    <w:rsid w:val="00207C0F"/>
    <w:rsid w:val="002114CC"/>
    <w:rsid w:val="00264966"/>
    <w:rsid w:val="00290D21"/>
    <w:rsid w:val="00291919"/>
    <w:rsid w:val="002D2B6F"/>
    <w:rsid w:val="002E29D7"/>
    <w:rsid w:val="002F0D6E"/>
    <w:rsid w:val="002F456A"/>
    <w:rsid w:val="0032438B"/>
    <w:rsid w:val="00354BFA"/>
    <w:rsid w:val="00373A66"/>
    <w:rsid w:val="003A7A75"/>
    <w:rsid w:val="003B00C0"/>
    <w:rsid w:val="003C5ED6"/>
    <w:rsid w:val="00400DBE"/>
    <w:rsid w:val="00413547"/>
    <w:rsid w:val="00420C2C"/>
    <w:rsid w:val="00430A49"/>
    <w:rsid w:val="00442BFC"/>
    <w:rsid w:val="00445C66"/>
    <w:rsid w:val="00496C9A"/>
    <w:rsid w:val="0049784E"/>
    <w:rsid w:val="004B00F8"/>
    <w:rsid w:val="004D30D7"/>
    <w:rsid w:val="00525A58"/>
    <w:rsid w:val="0053334D"/>
    <w:rsid w:val="00562833"/>
    <w:rsid w:val="005C2383"/>
    <w:rsid w:val="005E2AA7"/>
    <w:rsid w:val="00603FBA"/>
    <w:rsid w:val="00613AF5"/>
    <w:rsid w:val="006173C9"/>
    <w:rsid w:val="00622EA7"/>
    <w:rsid w:val="006260DD"/>
    <w:rsid w:val="00646D09"/>
    <w:rsid w:val="00677D56"/>
    <w:rsid w:val="007201E9"/>
    <w:rsid w:val="0072102C"/>
    <w:rsid w:val="00772C77"/>
    <w:rsid w:val="00777338"/>
    <w:rsid w:val="00784A33"/>
    <w:rsid w:val="00794DD9"/>
    <w:rsid w:val="007A2B5E"/>
    <w:rsid w:val="007A3160"/>
    <w:rsid w:val="007C19C1"/>
    <w:rsid w:val="007C3CBF"/>
    <w:rsid w:val="007F5347"/>
    <w:rsid w:val="008230D5"/>
    <w:rsid w:val="00840641"/>
    <w:rsid w:val="0084423F"/>
    <w:rsid w:val="00854556"/>
    <w:rsid w:val="008548A5"/>
    <w:rsid w:val="00873BA5"/>
    <w:rsid w:val="008A7AF6"/>
    <w:rsid w:val="008D0AC9"/>
    <w:rsid w:val="008F1AB2"/>
    <w:rsid w:val="00902AFE"/>
    <w:rsid w:val="00920E0E"/>
    <w:rsid w:val="00960610"/>
    <w:rsid w:val="00995FD4"/>
    <w:rsid w:val="009C729F"/>
    <w:rsid w:val="009D35E1"/>
    <w:rsid w:val="00A148A3"/>
    <w:rsid w:val="00A30F8B"/>
    <w:rsid w:val="00A34531"/>
    <w:rsid w:val="00A41B78"/>
    <w:rsid w:val="00A70D98"/>
    <w:rsid w:val="00A74D55"/>
    <w:rsid w:val="00A75EBC"/>
    <w:rsid w:val="00A80C62"/>
    <w:rsid w:val="00A93DD0"/>
    <w:rsid w:val="00AA157F"/>
    <w:rsid w:val="00AD1F6A"/>
    <w:rsid w:val="00B47C2D"/>
    <w:rsid w:val="00B54603"/>
    <w:rsid w:val="00B54BBF"/>
    <w:rsid w:val="00B66973"/>
    <w:rsid w:val="00BA2662"/>
    <w:rsid w:val="00BA3736"/>
    <w:rsid w:val="00BA56AA"/>
    <w:rsid w:val="00BB6E27"/>
    <w:rsid w:val="00BD12A9"/>
    <w:rsid w:val="00BD6797"/>
    <w:rsid w:val="00C15BCB"/>
    <w:rsid w:val="00C41A0C"/>
    <w:rsid w:val="00C41F77"/>
    <w:rsid w:val="00C55610"/>
    <w:rsid w:val="00C80158"/>
    <w:rsid w:val="00C9351C"/>
    <w:rsid w:val="00CA58DE"/>
    <w:rsid w:val="00CC3F5B"/>
    <w:rsid w:val="00CC7DD9"/>
    <w:rsid w:val="00CE082F"/>
    <w:rsid w:val="00CF29A5"/>
    <w:rsid w:val="00CF2AFC"/>
    <w:rsid w:val="00CF3A30"/>
    <w:rsid w:val="00D43E69"/>
    <w:rsid w:val="00D45E5D"/>
    <w:rsid w:val="00D97B52"/>
    <w:rsid w:val="00DA5418"/>
    <w:rsid w:val="00E31E86"/>
    <w:rsid w:val="00E42E38"/>
    <w:rsid w:val="00E46AF4"/>
    <w:rsid w:val="00E633B3"/>
    <w:rsid w:val="00EA1D9D"/>
    <w:rsid w:val="00EA5578"/>
    <w:rsid w:val="00EB0FF9"/>
    <w:rsid w:val="00EB1179"/>
    <w:rsid w:val="00F04E5C"/>
    <w:rsid w:val="00F31803"/>
    <w:rsid w:val="00F51732"/>
    <w:rsid w:val="00F75BC8"/>
    <w:rsid w:val="00FD7DED"/>
    <w:rsid w:val="00FF4989"/>
    <w:rsid w:val="17CE264F"/>
    <w:rsid w:val="2C59F7BC"/>
    <w:rsid w:val="31224F2D"/>
    <w:rsid w:val="57FC603E"/>
    <w:rsid w:val="611F9179"/>
    <w:rsid w:val="7EE9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57DE"/>
  <w15:chartTrackingRefBased/>
  <w15:docId w15:val="{A3A8D467-8652-46DB-82F0-260D037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5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45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talog.purdue.edu/content.php?catoid=18&amp;navoid=23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4345E6D5B244FBE4680BDF7C8F9B8" ma:contentTypeVersion="16" ma:contentTypeDescription="Create a new document." ma:contentTypeScope="" ma:versionID="9ccc8373bdb904c6955be52210f388d9">
  <xsd:schema xmlns:xsd="http://www.w3.org/2001/XMLSchema" xmlns:xs="http://www.w3.org/2001/XMLSchema" xmlns:p="http://schemas.microsoft.com/office/2006/metadata/properties" xmlns:ns2="4cb23aaf-d6fe-486c-9086-cce2a928e05e" xmlns:ns3="77b641af-40f1-44a0-8956-1bc12af8c1e8" targetNamespace="http://schemas.microsoft.com/office/2006/metadata/properties" ma:root="true" ma:fieldsID="0166baf978c6980ec18f6808b95ce325" ns2:_="" ns3:_="">
    <xsd:import namespace="4cb23aaf-d6fe-486c-9086-cce2a928e05e"/>
    <xsd:import namespace="77b641af-40f1-44a0-8956-1bc12af8c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3aaf-d6fe-486c-9086-cce2a928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641af-40f1-44a0-8956-1bc12af8c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28f776-3e99-4751-afe0-e0564a0a7615}" ma:internalName="TaxCatchAll" ma:showField="CatchAllData" ma:web="77b641af-40f1-44a0-8956-1bc12af8c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23aaf-d6fe-486c-9086-cce2a928e05e">
      <Terms xmlns="http://schemas.microsoft.com/office/infopath/2007/PartnerControls"/>
    </lcf76f155ced4ddcb4097134ff3c332f>
    <TaxCatchAll xmlns="77b641af-40f1-44a0-8956-1bc12af8c1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56969-D6EF-43B4-BF1D-C72151F2C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23aaf-d6fe-486c-9086-cce2a928e05e"/>
    <ds:schemaRef ds:uri="77b641af-40f1-44a0-8956-1bc12af8c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0D687-2AE1-491B-AB22-65E025A95780}">
  <ds:schemaRefs>
    <ds:schemaRef ds:uri="http://schemas.microsoft.com/office/2006/metadata/properties"/>
    <ds:schemaRef ds:uri="http://schemas.microsoft.com/office/infopath/2007/PartnerControls"/>
    <ds:schemaRef ds:uri="4cb23aaf-d6fe-486c-9086-cce2a928e05e"/>
    <ds:schemaRef ds:uri="77b641af-40f1-44a0-8956-1bc12af8c1e8"/>
  </ds:schemaRefs>
</ds:datastoreItem>
</file>

<file path=customXml/itemProps3.xml><?xml version="1.0" encoding="utf-8"?>
<ds:datastoreItem xmlns:ds="http://schemas.openxmlformats.org/officeDocument/2006/customXml" ds:itemID="{1C3281B1-E93E-469A-AFD6-A76C7B6FF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3274</Characters>
  <Application>Microsoft Office Word</Application>
  <DocSecurity>0</DocSecurity>
  <Lines>142</Lines>
  <Paragraphs>43</Paragraphs>
  <ScaleCrop>false</ScaleCrop>
  <Company>Purdue University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F Hurt</dc:creator>
  <cp:keywords/>
  <dc:description/>
  <cp:lastModifiedBy>Joseph William Camp</cp:lastModifiedBy>
  <cp:revision>8</cp:revision>
  <dcterms:created xsi:type="dcterms:W3CDTF">2026-03-05T20:33:00Z</dcterms:created>
  <dcterms:modified xsi:type="dcterms:W3CDTF">2026-03-06T19:28:00Z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0x010100A0F4345E6D5B244FBE4680BDF7C8F9B8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