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6C278" w14:textId="77777777" w:rsidR="00A27222" w:rsidRDefault="00A65638">
      <w:pPr>
        <w:pStyle w:val="BodyText"/>
        <w:spacing w:before="79"/>
        <w:ind w:right="77"/>
        <w:jc w:val="right"/>
        <w:rPr>
          <w:rFonts w:ascii="Franklin Gothic Demi"/>
        </w:rPr>
      </w:pPr>
      <w:r>
        <w:rPr>
          <w:rFonts w:ascii="Franklin Gothic Demi"/>
          <w:noProof/>
        </w:rPr>
        <w:drawing>
          <wp:anchor distT="0" distB="0" distL="0" distR="0" simplePos="0" relativeHeight="15728640" behindDoc="0" locked="0" layoutInCell="1" allowOverlap="1" wp14:anchorId="4466C2B5" wp14:editId="04DEE22F">
            <wp:simplePos x="0" y="0"/>
            <wp:positionH relativeFrom="page">
              <wp:posOffset>987425</wp:posOffset>
            </wp:positionH>
            <wp:positionV relativeFrom="paragraph">
              <wp:posOffset>51307</wp:posOffset>
            </wp:positionV>
            <wp:extent cx="2952102" cy="383031"/>
            <wp:effectExtent l="0" t="0" r="0" b="0"/>
            <wp:wrapNone/>
            <wp:docPr id="1" name="Image 1" descr="Gold Purdue P with Purdue University in black alongside University Senate cobrand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old Purdue P with Purdue University in black alongside University Senate cobrand.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102" cy="383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anklin Gothic Demi"/>
          <w:spacing w:val="-2"/>
        </w:rPr>
        <w:t>Senate</w:t>
      </w:r>
      <w:r>
        <w:rPr>
          <w:rFonts w:ascii="Franklin Gothic Demi"/>
          <w:spacing w:val="-9"/>
        </w:rPr>
        <w:t xml:space="preserve"> </w:t>
      </w:r>
      <w:r>
        <w:rPr>
          <w:rFonts w:ascii="Franklin Gothic Demi"/>
          <w:spacing w:val="-2"/>
        </w:rPr>
        <w:t>Document</w:t>
      </w:r>
      <w:r>
        <w:rPr>
          <w:rFonts w:ascii="Franklin Gothic Demi"/>
          <w:spacing w:val="-11"/>
        </w:rPr>
        <w:t xml:space="preserve"> </w:t>
      </w:r>
      <w:r>
        <w:rPr>
          <w:rFonts w:ascii="Franklin Gothic Demi"/>
          <w:spacing w:val="-2"/>
        </w:rPr>
        <w:t>24-</w:t>
      </w:r>
      <w:r>
        <w:rPr>
          <w:rFonts w:ascii="Franklin Gothic Demi"/>
          <w:spacing w:val="-5"/>
        </w:rPr>
        <w:t>05</w:t>
      </w:r>
    </w:p>
    <w:p w14:paraId="4466C279" w14:textId="77777777" w:rsidR="00A27222" w:rsidRDefault="00A65638">
      <w:pPr>
        <w:pStyle w:val="BodyText"/>
        <w:spacing w:before="40"/>
        <w:ind w:right="94"/>
        <w:jc w:val="right"/>
        <w:rPr>
          <w:rFonts w:ascii="Franklin Gothic Demi"/>
        </w:rPr>
      </w:pPr>
      <w:r>
        <w:rPr>
          <w:rFonts w:ascii="Franklin Gothic Demi"/>
        </w:rPr>
        <w:t>18</w:t>
      </w:r>
      <w:r>
        <w:rPr>
          <w:rFonts w:ascii="Franklin Gothic Demi"/>
          <w:spacing w:val="-9"/>
        </w:rPr>
        <w:t xml:space="preserve"> </w:t>
      </w:r>
      <w:r>
        <w:rPr>
          <w:rFonts w:ascii="Franklin Gothic Demi"/>
        </w:rPr>
        <w:t>November</w:t>
      </w:r>
      <w:r>
        <w:rPr>
          <w:rFonts w:ascii="Franklin Gothic Demi"/>
          <w:spacing w:val="-9"/>
        </w:rPr>
        <w:t xml:space="preserve"> </w:t>
      </w:r>
      <w:r>
        <w:rPr>
          <w:rFonts w:ascii="Franklin Gothic Demi"/>
          <w:spacing w:val="-4"/>
        </w:rPr>
        <w:t>2024</w:t>
      </w:r>
    </w:p>
    <w:p w14:paraId="4466C27A" w14:textId="77777777" w:rsidR="00A27222" w:rsidRDefault="00A27222">
      <w:pPr>
        <w:pStyle w:val="BodyText"/>
        <w:rPr>
          <w:rFonts w:ascii="Franklin Gothic Demi"/>
          <w:sz w:val="20"/>
        </w:rPr>
      </w:pPr>
    </w:p>
    <w:p w14:paraId="4466C27B" w14:textId="77777777" w:rsidR="00A27222" w:rsidRDefault="00A27222">
      <w:pPr>
        <w:pStyle w:val="BodyText"/>
        <w:rPr>
          <w:rFonts w:ascii="Franklin Gothic Demi"/>
          <w:sz w:val="20"/>
        </w:rPr>
      </w:pPr>
    </w:p>
    <w:p w14:paraId="4466C27C" w14:textId="77777777" w:rsidR="00A27222" w:rsidRDefault="00A27222">
      <w:pPr>
        <w:pStyle w:val="BodyText"/>
        <w:rPr>
          <w:rFonts w:ascii="Franklin Gothic Demi"/>
          <w:sz w:val="20"/>
        </w:rPr>
      </w:pPr>
    </w:p>
    <w:p w14:paraId="4466C27D" w14:textId="77777777" w:rsidR="00A27222" w:rsidRDefault="00A27222">
      <w:pPr>
        <w:pStyle w:val="BodyText"/>
        <w:spacing w:before="66"/>
        <w:rPr>
          <w:rFonts w:ascii="Franklin Gothic Demi"/>
          <w:sz w:val="20"/>
        </w:rPr>
      </w:pPr>
    </w:p>
    <w:tbl>
      <w:tblPr>
        <w:tblW w:w="0" w:type="auto"/>
        <w:tblInd w:w="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6"/>
        <w:gridCol w:w="7339"/>
      </w:tblGrid>
      <w:tr w:rsidR="00A27222" w14:paraId="4466C280" w14:textId="77777777">
        <w:trPr>
          <w:trHeight w:val="292"/>
        </w:trPr>
        <w:tc>
          <w:tcPr>
            <w:tcW w:w="1736" w:type="dxa"/>
          </w:tcPr>
          <w:p w14:paraId="4466C27E" w14:textId="77777777" w:rsidR="00A27222" w:rsidRDefault="00A6563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To:</w:t>
            </w:r>
          </w:p>
        </w:tc>
        <w:tc>
          <w:tcPr>
            <w:tcW w:w="7339" w:type="dxa"/>
          </w:tcPr>
          <w:p w14:paraId="4466C27F" w14:textId="77777777" w:rsidR="00A27222" w:rsidRDefault="00A65638">
            <w:pPr>
              <w:pStyle w:val="TableParagraph"/>
              <w:spacing w:line="272" w:lineRule="exact"/>
              <w:ind w:left="19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Senate</w:t>
            </w:r>
          </w:p>
        </w:tc>
      </w:tr>
      <w:tr w:rsidR="00A27222" w14:paraId="4466C283" w14:textId="77777777">
        <w:trPr>
          <w:trHeight w:val="313"/>
        </w:trPr>
        <w:tc>
          <w:tcPr>
            <w:tcW w:w="1736" w:type="dxa"/>
          </w:tcPr>
          <w:p w14:paraId="4466C281" w14:textId="77777777" w:rsidR="00A27222" w:rsidRDefault="00A65638">
            <w:pPr>
              <w:pStyle w:val="TableParagraph"/>
              <w:spacing w:before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From:</w:t>
            </w:r>
          </w:p>
        </w:tc>
        <w:tc>
          <w:tcPr>
            <w:tcW w:w="7339" w:type="dxa"/>
          </w:tcPr>
          <w:p w14:paraId="4466C282" w14:textId="77777777" w:rsidR="00A27222" w:rsidRDefault="00A65638">
            <w:pPr>
              <w:pStyle w:val="TableParagraph"/>
              <w:spacing w:before="19"/>
              <w:ind w:left="198"/>
              <w:rPr>
                <w:sz w:val="24"/>
              </w:rPr>
            </w:pPr>
            <w:r>
              <w:rPr>
                <w:sz w:val="24"/>
              </w:rPr>
              <w:t>Educational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</w:t>
            </w:r>
          </w:p>
        </w:tc>
      </w:tr>
      <w:tr w:rsidR="00A27222" w14:paraId="4466C286" w14:textId="77777777">
        <w:trPr>
          <w:trHeight w:val="314"/>
        </w:trPr>
        <w:tc>
          <w:tcPr>
            <w:tcW w:w="1736" w:type="dxa"/>
          </w:tcPr>
          <w:p w14:paraId="4466C284" w14:textId="77777777" w:rsidR="00A27222" w:rsidRDefault="00A65638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Subject:</w:t>
            </w:r>
          </w:p>
        </w:tc>
        <w:tc>
          <w:tcPr>
            <w:tcW w:w="7339" w:type="dxa"/>
          </w:tcPr>
          <w:p w14:paraId="4466C285" w14:textId="77777777" w:rsidR="00A27222" w:rsidRDefault="00A65638">
            <w:pPr>
              <w:pStyle w:val="TableParagraph"/>
              <w:spacing w:before="21"/>
              <w:ind w:left="198"/>
              <w:rPr>
                <w:sz w:val="24"/>
              </w:rPr>
            </w:pPr>
            <w:r>
              <w:rPr>
                <w:sz w:val="24"/>
              </w:rPr>
              <w:t>Educational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Faculty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Change</w:t>
            </w:r>
          </w:p>
        </w:tc>
      </w:tr>
      <w:tr w:rsidR="00A27222" w14:paraId="4466C28A" w14:textId="77777777">
        <w:trPr>
          <w:trHeight w:val="939"/>
        </w:trPr>
        <w:tc>
          <w:tcPr>
            <w:tcW w:w="1736" w:type="dxa"/>
          </w:tcPr>
          <w:p w14:paraId="4466C287" w14:textId="77777777" w:rsidR="00A27222" w:rsidRDefault="00A65638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Reference:</w:t>
            </w:r>
          </w:p>
        </w:tc>
        <w:tc>
          <w:tcPr>
            <w:tcW w:w="7339" w:type="dxa"/>
          </w:tcPr>
          <w:p w14:paraId="4466C288" w14:textId="77777777" w:rsidR="00A27222" w:rsidRDefault="00A65638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before="23" w:line="273" w:lineRule="auto"/>
              <w:ind w:right="401" w:firstLine="0"/>
              <w:rPr>
                <w:sz w:val="24"/>
              </w:rPr>
            </w:pPr>
            <w:r>
              <w:rPr>
                <w:sz w:val="24"/>
              </w:rPr>
              <w:t>Purdue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Regulations:</w:t>
            </w:r>
            <w:r>
              <w:rPr>
                <w:spacing w:val="-12"/>
                <w:sz w:val="24"/>
              </w:rPr>
              <w:t xml:space="preserve"> </w:t>
            </w:r>
            <w:hyperlink r:id="rId6">
              <w:r>
                <w:rPr>
                  <w:color w:val="0461C1"/>
                  <w:sz w:val="24"/>
                  <w:u w:val="single" w:color="0461C1"/>
                </w:rPr>
                <w:t>Grades</w:t>
              </w:r>
              <w:r>
                <w:rPr>
                  <w:color w:val="0461C1"/>
                  <w:spacing w:val="-13"/>
                  <w:sz w:val="24"/>
                  <w:u w:val="single" w:color="0461C1"/>
                </w:rPr>
                <w:t xml:space="preserve"> </w:t>
              </w:r>
              <w:r>
                <w:rPr>
                  <w:color w:val="0461C1"/>
                  <w:sz w:val="24"/>
                  <w:u w:val="single" w:color="0461C1"/>
                </w:rPr>
                <w:t>and</w:t>
              </w:r>
            </w:hyperlink>
            <w:r>
              <w:rPr>
                <w:color w:val="0461C1"/>
                <w:sz w:val="24"/>
              </w:rPr>
              <w:t xml:space="preserve"> </w:t>
            </w:r>
            <w:hyperlink r:id="rId7">
              <w:r>
                <w:rPr>
                  <w:color w:val="0461C1"/>
                  <w:sz w:val="24"/>
                  <w:u w:val="single" w:color="0461C1"/>
                </w:rPr>
                <w:t>Grade Reports</w:t>
              </w:r>
            </w:hyperlink>
            <w:r>
              <w:rPr>
                <w:color w:val="0461C1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K. Academic Renewal</w:t>
            </w:r>
          </w:p>
          <w:p w14:paraId="4466C289" w14:textId="77777777" w:rsidR="00A27222" w:rsidRDefault="00A65638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ind w:left="570" w:hanging="375"/>
              <w:rPr>
                <w:sz w:val="24"/>
              </w:rPr>
            </w:pPr>
            <w:hyperlink r:id="rId8">
              <w:r>
                <w:rPr>
                  <w:color w:val="0461C1"/>
                  <w:sz w:val="24"/>
                  <w:u w:val="single" w:color="0461C1"/>
                </w:rPr>
                <w:t>Office</w:t>
              </w:r>
              <w:r>
                <w:rPr>
                  <w:color w:val="0461C1"/>
                  <w:spacing w:val="-7"/>
                  <w:sz w:val="24"/>
                  <w:u w:val="single" w:color="0461C1"/>
                </w:rPr>
                <w:t xml:space="preserve"> </w:t>
              </w:r>
              <w:r>
                <w:rPr>
                  <w:color w:val="0461C1"/>
                  <w:sz w:val="24"/>
                  <w:u w:val="single" w:color="0461C1"/>
                </w:rPr>
                <w:t>of</w:t>
              </w:r>
              <w:r>
                <w:rPr>
                  <w:color w:val="0461C1"/>
                  <w:spacing w:val="-3"/>
                  <w:sz w:val="24"/>
                  <w:u w:val="single" w:color="0461C1"/>
                </w:rPr>
                <w:t xml:space="preserve"> </w:t>
              </w:r>
              <w:r>
                <w:rPr>
                  <w:color w:val="0461C1"/>
                  <w:spacing w:val="-2"/>
                  <w:sz w:val="24"/>
                  <w:u w:val="single" w:color="0461C1"/>
                </w:rPr>
                <w:t>Admissions</w:t>
              </w:r>
            </w:hyperlink>
          </w:p>
        </w:tc>
      </w:tr>
      <w:tr w:rsidR="00A27222" w14:paraId="4466C28D" w14:textId="77777777">
        <w:trPr>
          <w:trHeight w:val="314"/>
        </w:trPr>
        <w:tc>
          <w:tcPr>
            <w:tcW w:w="1736" w:type="dxa"/>
          </w:tcPr>
          <w:p w14:paraId="4466C28B" w14:textId="77777777" w:rsidR="00A27222" w:rsidRDefault="00A65638">
            <w:pPr>
              <w:pStyle w:val="TableParagraph"/>
              <w:spacing w:before="22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Disposition:</w:t>
            </w:r>
          </w:p>
        </w:tc>
        <w:tc>
          <w:tcPr>
            <w:tcW w:w="7339" w:type="dxa"/>
          </w:tcPr>
          <w:p w14:paraId="4466C28C" w14:textId="77777777" w:rsidR="00A27222" w:rsidRDefault="00A65638">
            <w:pPr>
              <w:pStyle w:val="TableParagraph"/>
              <w:spacing w:before="22" w:line="272" w:lineRule="exact"/>
              <w:ind w:left="198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Discussions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Adoption</w:t>
            </w:r>
          </w:p>
        </w:tc>
      </w:tr>
      <w:tr w:rsidR="00A27222" w14:paraId="4466C291" w14:textId="77777777">
        <w:trPr>
          <w:trHeight w:val="1568"/>
        </w:trPr>
        <w:tc>
          <w:tcPr>
            <w:tcW w:w="1736" w:type="dxa"/>
          </w:tcPr>
          <w:p w14:paraId="4466C28E" w14:textId="77777777" w:rsidR="00A27222" w:rsidRDefault="00A65638">
            <w:pPr>
              <w:pStyle w:val="TableParagraph"/>
              <w:spacing w:before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Rationale:</w:t>
            </w:r>
          </w:p>
        </w:tc>
        <w:tc>
          <w:tcPr>
            <w:tcW w:w="7339" w:type="dxa"/>
          </w:tcPr>
          <w:p w14:paraId="4466C28F" w14:textId="77777777" w:rsidR="00A27222" w:rsidRDefault="00A65638">
            <w:pPr>
              <w:pStyle w:val="TableParagraph"/>
              <w:spacing w:before="19" w:line="276" w:lineRule="auto"/>
              <w:ind w:left="197"/>
              <w:rPr>
                <w:sz w:val="24"/>
              </w:rPr>
            </w:pPr>
            <w:r>
              <w:rPr>
                <w:sz w:val="24"/>
              </w:rPr>
              <w:t>With the changes in language surrounding academic notice and academic separation, the Committee on Scholastic Delinquencies 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Readmission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reflect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more accurate and attuned tone that is being modeled elsewhere</w:t>
            </w:r>
          </w:p>
          <w:p w14:paraId="4466C290" w14:textId="77777777" w:rsidR="00A27222" w:rsidRDefault="00A65638">
            <w:pPr>
              <w:pStyle w:val="TableParagraph"/>
              <w:spacing w:before="1"/>
              <w:ind w:left="198"/>
              <w:rPr>
                <w:sz w:val="24"/>
              </w:rPr>
            </w:pPr>
            <w:r>
              <w:rPr>
                <w:sz w:val="24"/>
              </w:rPr>
              <w:t>across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Purdue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University.</w:t>
            </w:r>
          </w:p>
        </w:tc>
      </w:tr>
      <w:tr w:rsidR="00A27222" w14:paraId="4466C299" w14:textId="77777777">
        <w:trPr>
          <w:trHeight w:val="2779"/>
        </w:trPr>
        <w:tc>
          <w:tcPr>
            <w:tcW w:w="1736" w:type="dxa"/>
          </w:tcPr>
          <w:p w14:paraId="4466C292" w14:textId="77777777" w:rsidR="00A27222" w:rsidRDefault="00A65638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Proposal:</w:t>
            </w:r>
          </w:p>
        </w:tc>
        <w:tc>
          <w:tcPr>
            <w:tcW w:w="7339" w:type="dxa"/>
          </w:tcPr>
          <w:p w14:paraId="4466C293" w14:textId="77777777" w:rsidR="00A27222" w:rsidRDefault="00A65638">
            <w:pPr>
              <w:pStyle w:val="TableParagraph"/>
              <w:spacing w:before="23" w:line="273" w:lineRule="auto"/>
              <w:ind w:left="197" w:right="4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modifies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Regulations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within the Grade and Grade Reports, Section K Academic Renewal to reflect the committee’s new name:</w:t>
            </w:r>
          </w:p>
          <w:p w14:paraId="4466C294" w14:textId="77777777" w:rsidR="00A27222" w:rsidRDefault="00A27222">
            <w:pPr>
              <w:pStyle w:val="TableParagraph"/>
              <w:spacing w:before="43"/>
              <w:ind w:left="0"/>
              <w:rPr>
                <w:rFonts w:ascii="Franklin Gothic Demi"/>
                <w:b/>
                <w:sz w:val="24"/>
              </w:rPr>
            </w:pPr>
          </w:p>
          <w:p w14:paraId="4466C295" w14:textId="77777777" w:rsidR="00A27222" w:rsidRDefault="00A65638">
            <w:pPr>
              <w:pStyle w:val="TableParagraph"/>
              <w:ind w:left="198"/>
              <w:rPr>
                <w:sz w:val="24"/>
              </w:rPr>
            </w:pPr>
            <w:r>
              <w:rPr>
                <w:sz w:val="24"/>
              </w:rPr>
              <w:t>Readmission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Renewal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</w:t>
            </w:r>
          </w:p>
          <w:p w14:paraId="4466C296" w14:textId="77777777" w:rsidR="00A27222" w:rsidRDefault="00A27222">
            <w:pPr>
              <w:pStyle w:val="TableParagraph"/>
              <w:spacing w:before="86"/>
              <w:ind w:left="0"/>
              <w:rPr>
                <w:rFonts w:ascii="Franklin Gothic Demi"/>
                <w:b/>
                <w:sz w:val="24"/>
              </w:rPr>
            </w:pPr>
          </w:p>
          <w:p w14:paraId="4466C297" w14:textId="77777777" w:rsidR="00A27222" w:rsidRDefault="00A65638">
            <w:pPr>
              <w:pStyle w:val="TableParagraph"/>
              <w:spacing w:before="1"/>
              <w:ind w:left="198"/>
              <w:rPr>
                <w:sz w:val="24"/>
              </w:rPr>
            </w:pPr>
            <w:r>
              <w:rPr>
                <w:sz w:val="24"/>
              </w:rPr>
              <w:t>Additionally,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reflected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4466C298" w14:textId="77777777" w:rsidR="00A27222" w:rsidRDefault="00A65638">
            <w:pPr>
              <w:pStyle w:val="TableParagraph"/>
              <w:spacing w:before="4" w:line="290" w:lineRule="atLeast"/>
              <w:ind w:left="197"/>
              <w:rPr>
                <w:sz w:val="24"/>
              </w:rPr>
            </w:pPr>
            <w:r>
              <w:rPr>
                <w:sz w:val="24"/>
              </w:rPr>
              <w:t>Readmission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currently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located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Admissions.</w:t>
            </w:r>
          </w:p>
        </w:tc>
      </w:tr>
    </w:tbl>
    <w:p w14:paraId="4466C29A" w14:textId="77777777" w:rsidR="00A27222" w:rsidRDefault="00A27222">
      <w:pPr>
        <w:pStyle w:val="TableParagraph"/>
        <w:spacing w:line="290" w:lineRule="atLeast"/>
        <w:rPr>
          <w:sz w:val="24"/>
        </w:rPr>
        <w:sectPr w:rsidR="00A27222">
          <w:type w:val="continuous"/>
          <w:pgSz w:w="12240" w:h="15840"/>
          <w:pgMar w:top="1340" w:right="1440" w:bottom="280" w:left="1440" w:header="720" w:footer="720" w:gutter="0"/>
          <w:cols w:space="720"/>
        </w:sectPr>
      </w:pPr>
    </w:p>
    <w:p w14:paraId="4466C29B" w14:textId="77777777" w:rsidR="00A27222" w:rsidRDefault="00A65638">
      <w:pPr>
        <w:pStyle w:val="BodyText"/>
        <w:spacing w:before="80"/>
        <w:ind w:left="108"/>
      </w:pPr>
      <w:r>
        <w:rPr>
          <w:spacing w:val="-2"/>
        </w:rPr>
        <w:lastRenderedPageBreak/>
        <w:t>Committee</w:t>
      </w:r>
      <w:r>
        <w:rPr>
          <w:spacing w:val="-5"/>
        </w:rPr>
        <w:t xml:space="preserve"> </w:t>
      </w:r>
      <w:r>
        <w:rPr>
          <w:spacing w:val="-2"/>
        </w:rPr>
        <w:t>Votes:</w:t>
      </w:r>
      <w:r>
        <w:rPr>
          <w:spacing w:val="-4"/>
        </w:rPr>
        <w:t xml:space="preserve"> </w:t>
      </w:r>
      <w:r>
        <w:rPr>
          <w:spacing w:val="-2"/>
        </w:rPr>
        <w:t>Educational Policy</w:t>
      </w:r>
      <w:r>
        <w:rPr>
          <w:spacing w:val="-1"/>
        </w:rPr>
        <w:t xml:space="preserve"> </w:t>
      </w:r>
      <w:r>
        <w:rPr>
          <w:spacing w:val="-2"/>
        </w:rPr>
        <w:t>Committee</w:t>
      </w:r>
    </w:p>
    <w:p w14:paraId="4466C29C" w14:textId="77777777" w:rsidR="00A27222" w:rsidRDefault="00A27222">
      <w:pPr>
        <w:rPr>
          <w:b/>
          <w:sz w:val="20"/>
        </w:rPr>
      </w:pPr>
    </w:p>
    <w:p w14:paraId="4466C29D" w14:textId="77777777" w:rsidR="00A27222" w:rsidRDefault="00A27222">
      <w:pPr>
        <w:spacing w:before="149" w:after="1"/>
        <w:rPr>
          <w:b/>
          <w:sz w:val="20"/>
        </w:rPr>
      </w:pPr>
    </w:p>
    <w:tbl>
      <w:tblPr>
        <w:tblW w:w="0" w:type="auto"/>
        <w:tblInd w:w="1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5"/>
        <w:gridCol w:w="1694"/>
        <w:gridCol w:w="2158"/>
        <w:gridCol w:w="2540"/>
      </w:tblGrid>
      <w:tr w:rsidR="00A27222" w14:paraId="4466C2A2" w14:textId="77777777">
        <w:trPr>
          <w:trHeight w:val="271"/>
        </w:trPr>
        <w:tc>
          <w:tcPr>
            <w:tcW w:w="2785" w:type="dxa"/>
          </w:tcPr>
          <w:p w14:paraId="4466C29E" w14:textId="77777777" w:rsidR="00A27222" w:rsidRDefault="00A65638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For:</w:t>
            </w:r>
          </w:p>
        </w:tc>
        <w:tc>
          <w:tcPr>
            <w:tcW w:w="1694" w:type="dxa"/>
          </w:tcPr>
          <w:p w14:paraId="4466C29F" w14:textId="77777777" w:rsidR="00A27222" w:rsidRDefault="00A65638">
            <w:pPr>
              <w:pStyle w:val="TableParagraph"/>
              <w:spacing w:line="252" w:lineRule="exact"/>
              <w:ind w:left="3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Against:</w:t>
            </w:r>
          </w:p>
        </w:tc>
        <w:tc>
          <w:tcPr>
            <w:tcW w:w="2158" w:type="dxa"/>
          </w:tcPr>
          <w:p w14:paraId="4466C2A0" w14:textId="77777777" w:rsidR="00A27222" w:rsidRDefault="00A65638">
            <w:pPr>
              <w:pStyle w:val="TableParagraph"/>
              <w:spacing w:line="252" w:lineRule="exact"/>
              <w:ind w:left="3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Abstained:</w:t>
            </w:r>
          </w:p>
        </w:tc>
        <w:tc>
          <w:tcPr>
            <w:tcW w:w="2540" w:type="dxa"/>
          </w:tcPr>
          <w:p w14:paraId="4466C2A1" w14:textId="77777777" w:rsidR="00A27222" w:rsidRDefault="00A65638">
            <w:pPr>
              <w:pStyle w:val="TableParagraph"/>
              <w:spacing w:line="252" w:lineRule="exact"/>
              <w:ind w:left="4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Absent:</w:t>
            </w:r>
          </w:p>
        </w:tc>
      </w:tr>
      <w:tr w:rsidR="00A27222" w14:paraId="4466C2A9" w14:textId="77777777">
        <w:trPr>
          <w:trHeight w:val="2412"/>
        </w:trPr>
        <w:tc>
          <w:tcPr>
            <w:tcW w:w="2785" w:type="dxa"/>
          </w:tcPr>
          <w:p w14:paraId="4466C2A3" w14:textId="77777777" w:rsidR="00A27222" w:rsidRDefault="00A65638">
            <w:pPr>
              <w:pStyle w:val="TableParagraph"/>
              <w:spacing w:before="17" w:line="220" w:lineRule="auto"/>
              <w:ind w:right="329"/>
              <w:rPr>
                <w:sz w:val="24"/>
              </w:rPr>
            </w:pPr>
            <w:r>
              <w:rPr>
                <w:spacing w:val="-4"/>
                <w:sz w:val="24"/>
              </w:rPr>
              <w:t>Howard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Sypher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(Chair) </w:t>
            </w:r>
            <w:r>
              <w:rPr>
                <w:sz w:val="24"/>
              </w:rPr>
              <w:t>Thomas Brush</w:t>
            </w:r>
          </w:p>
          <w:p w14:paraId="4466C2A4" w14:textId="77777777" w:rsidR="00A27222" w:rsidRDefault="00A65638">
            <w:pPr>
              <w:pStyle w:val="TableParagraph"/>
              <w:spacing w:before="2" w:line="223" w:lineRule="auto"/>
              <w:ind w:right="649"/>
              <w:rPr>
                <w:sz w:val="24"/>
              </w:rPr>
            </w:pPr>
            <w:r>
              <w:rPr>
                <w:sz w:val="24"/>
              </w:rPr>
              <w:t>Julie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Chester Vincent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Duffy Abdelfattah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Nour </w:t>
            </w:r>
            <w:r>
              <w:rPr>
                <w:spacing w:val="-6"/>
                <w:sz w:val="24"/>
              </w:rPr>
              <w:t>PV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Ramachandran </w:t>
            </w:r>
            <w:r>
              <w:rPr>
                <w:sz w:val="24"/>
              </w:rPr>
              <w:t>Mark Russell Steven Scott</w:t>
            </w:r>
          </w:p>
          <w:p w14:paraId="4466C2A5" w14:textId="77777777" w:rsidR="00A27222" w:rsidRDefault="00A6563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John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Sheffield</w:t>
            </w:r>
          </w:p>
        </w:tc>
        <w:tc>
          <w:tcPr>
            <w:tcW w:w="1694" w:type="dxa"/>
          </w:tcPr>
          <w:p w14:paraId="4466C2A6" w14:textId="77777777" w:rsidR="00A27222" w:rsidRDefault="00A65638">
            <w:pPr>
              <w:pStyle w:val="TableParagraph"/>
              <w:spacing w:line="272" w:lineRule="exact"/>
              <w:ind w:left="337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158" w:type="dxa"/>
          </w:tcPr>
          <w:p w14:paraId="4466C2A7" w14:textId="77777777" w:rsidR="00A27222" w:rsidRDefault="00A65638">
            <w:pPr>
              <w:pStyle w:val="TableParagraph"/>
              <w:spacing w:line="272" w:lineRule="exact"/>
              <w:ind w:left="354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540" w:type="dxa"/>
          </w:tcPr>
          <w:p w14:paraId="4466C2A8" w14:textId="77777777" w:rsidR="00A27222" w:rsidRDefault="00A65638">
            <w:pPr>
              <w:pStyle w:val="TableParagraph"/>
              <w:spacing w:before="14" w:line="223" w:lineRule="auto"/>
              <w:ind w:left="497"/>
              <w:rPr>
                <w:sz w:val="24"/>
              </w:rPr>
            </w:pPr>
            <w:r>
              <w:rPr>
                <w:sz w:val="24"/>
              </w:rPr>
              <w:t xml:space="preserve">Patricia Davies Stacy </w:t>
            </w:r>
            <w:proofErr w:type="spellStart"/>
            <w:r>
              <w:rPr>
                <w:sz w:val="24"/>
              </w:rPr>
              <w:t>Lindshield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Antonio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Barreto </w:t>
            </w:r>
            <w:r>
              <w:rPr>
                <w:sz w:val="24"/>
              </w:rPr>
              <w:t>Monica Torres</w:t>
            </w:r>
          </w:p>
        </w:tc>
      </w:tr>
      <w:tr w:rsidR="00A27222" w14:paraId="4466C2AE" w14:textId="77777777">
        <w:trPr>
          <w:trHeight w:val="1519"/>
        </w:trPr>
        <w:tc>
          <w:tcPr>
            <w:tcW w:w="2785" w:type="dxa"/>
          </w:tcPr>
          <w:p w14:paraId="4466C2AA" w14:textId="77777777" w:rsidR="00A27222" w:rsidRDefault="00A65638">
            <w:pPr>
              <w:pStyle w:val="TableParagraph"/>
              <w:spacing w:before="132" w:line="223" w:lineRule="auto"/>
              <w:ind w:right="1349"/>
              <w:rPr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Advisors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Beals Sheila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Hurt </w:t>
            </w:r>
            <w:r>
              <w:rPr>
                <w:spacing w:val="-4"/>
                <w:sz w:val="24"/>
              </w:rPr>
              <w:t>Jenna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Rickus Jeff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Stafancic</w:t>
            </w:r>
            <w:proofErr w:type="spellEnd"/>
          </w:p>
        </w:tc>
        <w:tc>
          <w:tcPr>
            <w:tcW w:w="1694" w:type="dxa"/>
          </w:tcPr>
          <w:p w14:paraId="4466C2AB" w14:textId="77777777" w:rsidR="00A27222" w:rsidRDefault="00A2722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58" w:type="dxa"/>
          </w:tcPr>
          <w:p w14:paraId="4466C2AC" w14:textId="77777777" w:rsidR="00A27222" w:rsidRDefault="00A2722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40" w:type="dxa"/>
          </w:tcPr>
          <w:p w14:paraId="4466C2AD" w14:textId="77777777" w:rsidR="00A27222" w:rsidRDefault="00A65638">
            <w:pPr>
              <w:pStyle w:val="TableParagraph"/>
              <w:spacing w:before="132" w:line="223" w:lineRule="auto"/>
              <w:ind w:left="497" w:right="779" w:firstLine="38"/>
              <w:rPr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Advisors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Jeff Elliott </w:t>
            </w:r>
            <w:r>
              <w:rPr>
                <w:spacing w:val="-2"/>
                <w:sz w:val="24"/>
              </w:rPr>
              <w:t>Cara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Wetzel</w:t>
            </w:r>
          </w:p>
        </w:tc>
      </w:tr>
      <w:tr w:rsidR="00A27222" w14:paraId="4466C2B4" w14:textId="77777777">
        <w:trPr>
          <w:trHeight w:val="893"/>
        </w:trPr>
        <w:tc>
          <w:tcPr>
            <w:tcW w:w="2785" w:type="dxa"/>
          </w:tcPr>
          <w:p w14:paraId="4466C2AF" w14:textId="77777777" w:rsidR="00A27222" w:rsidRDefault="00A65638">
            <w:pPr>
              <w:pStyle w:val="TableParagraph"/>
              <w:spacing w:before="117" w:line="26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Students</w:t>
            </w:r>
          </w:p>
          <w:p w14:paraId="4466C2B0" w14:textId="77777777" w:rsidR="00A27222" w:rsidRDefault="00A6563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Ali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Holmes</w:t>
            </w:r>
          </w:p>
        </w:tc>
        <w:tc>
          <w:tcPr>
            <w:tcW w:w="1694" w:type="dxa"/>
          </w:tcPr>
          <w:p w14:paraId="4466C2B1" w14:textId="77777777" w:rsidR="00A27222" w:rsidRDefault="00A2722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58" w:type="dxa"/>
          </w:tcPr>
          <w:p w14:paraId="4466C2B2" w14:textId="77777777" w:rsidR="00A27222" w:rsidRDefault="00A2722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40" w:type="dxa"/>
          </w:tcPr>
          <w:p w14:paraId="4466C2B3" w14:textId="77777777" w:rsidR="00A27222" w:rsidRDefault="00A65638">
            <w:pPr>
              <w:pStyle w:val="TableParagraph"/>
              <w:spacing w:before="117" w:line="252" w:lineRule="exact"/>
              <w:ind w:left="497" w:right="416" w:firstLine="38"/>
              <w:rPr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Students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Bryanne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Garcia </w:t>
            </w:r>
            <w:r>
              <w:rPr>
                <w:sz w:val="24"/>
              </w:rPr>
              <w:t>Eden Wolfe</w:t>
            </w:r>
          </w:p>
        </w:tc>
      </w:tr>
    </w:tbl>
    <w:p w14:paraId="4466C2B5" w14:textId="77777777" w:rsidR="00A65638" w:rsidRDefault="00A65638"/>
    <w:sectPr w:rsidR="00000000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E5710"/>
    <w:multiLevelType w:val="hybridMultilevel"/>
    <w:tmpl w:val="10284944"/>
    <w:lvl w:ilvl="0" w:tplc="22D6B57A">
      <w:start w:val="1"/>
      <w:numFmt w:val="decimal"/>
      <w:lvlText w:val="[%1]"/>
      <w:lvlJc w:val="left"/>
      <w:pPr>
        <w:ind w:left="198" w:hanging="34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DCBC5C">
      <w:numFmt w:val="bullet"/>
      <w:lvlText w:val="•"/>
      <w:lvlJc w:val="left"/>
      <w:pPr>
        <w:ind w:left="913" w:hanging="344"/>
      </w:pPr>
      <w:rPr>
        <w:rFonts w:hint="default"/>
        <w:lang w:val="en-US" w:eastAsia="en-US" w:bidi="ar-SA"/>
      </w:rPr>
    </w:lvl>
    <w:lvl w:ilvl="2" w:tplc="CB3A1E24">
      <w:numFmt w:val="bullet"/>
      <w:lvlText w:val="•"/>
      <w:lvlJc w:val="left"/>
      <w:pPr>
        <w:ind w:left="1627" w:hanging="344"/>
      </w:pPr>
      <w:rPr>
        <w:rFonts w:hint="default"/>
        <w:lang w:val="en-US" w:eastAsia="en-US" w:bidi="ar-SA"/>
      </w:rPr>
    </w:lvl>
    <w:lvl w:ilvl="3" w:tplc="B48CE74A">
      <w:numFmt w:val="bullet"/>
      <w:lvlText w:val="•"/>
      <w:lvlJc w:val="left"/>
      <w:pPr>
        <w:ind w:left="2341" w:hanging="344"/>
      </w:pPr>
      <w:rPr>
        <w:rFonts w:hint="default"/>
        <w:lang w:val="en-US" w:eastAsia="en-US" w:bidi="ar-SA"/>
      </w:rPr>
    </w:lvl>
    <w:lvl w:ilvl="4" w:tplc="8222E124">
      <w:numFmt w:val="bullet"/>
      <w:lvlText w:val="•"/>
      <w:lvlJc w:val="left"/>
      <w:pPr>
        <w:ind w:left="3055" w:hanging="344"/>
      </w:pPr>
      <w:rPr>
        <w:rFonts w:hint="default"/>
        <w:lang w:val="en-US" w:eastAsia="en-US" w:bidi="ar-SA"/>
      </w:rPr>
    </w:lvl>
    <w:lvl w:ilvl="5" w:tplc="D0B65176">
      <w:numFmt w:val="bullet"/>
      <w:lvlText w:val="•"/>
      <w:lvlJc w:val="left"/>
      <w:pPr>
        <w:ind w:left="3769" w:hanging="344"/>
      </w:pPr>
      <w:rPr>
        <w:rFonts w:hint="default"/>
        <w:lang w:val="en-US" w:eastAsia="en-US" w:bidi="ar-SA"/>
      </w:rPr>
    </w:lvl>
    <w:lvl w:ilvl="6" w:tplc="7A3E2F7A">
      <w:numFmt w:val="bullet"/>
      <w:lvlText w:val="•"/>
      <w:lvlJc w:val="left"/>
      <w:pPr>
        <w:ind w:left="4483" w:hanging="344"/>
      </w:pPr>
      <w:rPr>
        <w:rFonts w:hint="default"/>
        <w:lang w:val="en-US" w:eastAsia="en-US" w:bidi="ar-SA"/>
      </w:rPr>
    </w:lvl>
    <w:lvl w:ilvl="7" w:tplc="C2C44C8E">
      <w:numFmt w:val="bullet"/>
      <w:lvlText w:val="•"/>
      <w:lvlJc w:val="left"/>
      <w:pPr>
        <w:ind w:left="5197" w:hanging="344"/>
      </w:pPr>
      <w:rPr>
        <w:rFonts w:hint="default"/>
        <w:lang w:val="en-US" w:eastAsia="en-US" w:bidi="ar-SA"/>
      </w:rPr>
    </w:lvl>
    <w:lvl w:ilvl="8" w:tplc="778CC7DE">
      <w:numFmt w:val="bullet"/>
      <w:lvlText w:val="•"/>
      <w:lvlJc w:val="left"/>
      <w:pPr>
        <w:ind w:left="5911" w:hanging="344"/>
      </w:pPr>
      <w:rPr>
        <w:rFonts w:hint="default"/>
        <w:lang w:val="en-US" w:eastAsia="en-US" w:bidi="ar-SA"/>
      </w:rPr>
    </w:lvl>
  </w:abstractNum>
  <w:num w:numId="1" w16cid:durableId="1119304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7222"/>
    <w:rsid w:val="00A27222"/>
    <w:rsid w:val="00A65638"/>
    <w:rsid w:val="00BD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6C278"/>
  <w15:docId w15:val="{6C1DCE4B-135B-4338-A77F-C284B2FA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ssions.purdue.edu/readmission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catalog.purdue.edu/content.php?catoid=17&amp;navoid=21832&amp;hl=%22Committee%2Bon%2BScholastic%2BDelinquencies%2Band%2BReadmission%22&amp;returnto=search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purdue.edu/content.php?catoid=17&amp;navoid=21832&amp;hl=%22Committee%2Bon%2BScholastic%2BDelinquencies%2Band%2BReadmission%22&amp;returnto=search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6EBA4F-E9C9-4BCC-A6E7-8748E3E1EA4A}"/>
</file>

<file path=customXml/itemProps2.xml><?xml version="1.0" encoding="utf-8"?>
<ds:datastoreItem xmlns:ds="http://schemas.openxmlformats.org/officeDocument/2006/customXml" ds:itemID="{1CAD97AC-701E-4B27-935F-B25191C89A7C}"/>
</file>

<file path=customXml/itemProps3.xml><?xml version="1.0" encoding="utf-8"?>
<ds:datastoreItem xmlns:ds="http://schemas.openxmlformats.org/officeDocument/2006/customXml" ds:itemID="{510863D6-CD69-49D8-97BC-EE7F750A51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cp:lastModifiedBy>Allison McKay</cp:lastModifiedBy>
  <cp:revision>2</cp:revision>
  <dcterms:created xsi:type="dcterms:W3CDTF">2026-03-03T19:13:00Z</dcterms:created>
  <dcterms:modified xsi:type="dcterms:W3CDTF">2026-03-03T19:14:00Z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2026-03-03T00:00:00Z</vt:filetime>
  </property>
  <property fmtid="{D5CDD505-2E9C-101B-9397-08002B2CF9AE}" pid="5" name="MSIP_Label_4044bd30-2ed7-4c9d-9d12-46200872a97b_ActionId">
    <vt:lpwstr>10fdb447-1b2a-4589-a56a-1461c2da3c3b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2023-01-31T18:21:32Z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24.5.96</vt:lpwstr>
  </property>
  <property fmtid="{D5CDD505-2E9C-101B-9397-08002B2CF9AE}" pid="13" name="SourceModified">
    <vt:lpwstr>D:20241101170759</vt:lpwstr>
  </property>
  <property fmtid="{D5CDD505-2E9C-101B-9397-08002B2CF9AE}" pid="14" name="ContentTypeId">
    <vt:lpwstr>0x010100D058EE361C257148BA38B1661276A50E</vt:lpwstr>
  </property>
</Properties>
</file>