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A0CB" w14:textId="33645760" w:rsidR="00E12EFF" w:rsidRDefault="00E12EFF">
      <w:pPr>
        <w:pStyle w:val="BodyText"/>
        <w:kinsoku w:val="0"/>
        <w:overflowPunct w:val="0"/>
        <w:spacing w:before="73" w:line="276" w:lineRule="auto"/>
        <w:ind w:left="6388" w:right="428" w:firstLine="232"/>
        <w:rPr>
          <w:rFonts w:ascii="Franklin Gothic Book" w:hAnsi="Franklin Gothic Book" w:cs="Franklin Gothic Book"/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95D3E6" wp14:editId="1A61C236">
                <wp:simplePos x="0" y="0"/>
                <wp:positionH relativeFrom="page">
                  <wp:posOffset>982345</wp:posOffset>
                </wp:positionH>
                <wp:positionV relativeFrom="paragraph">
                  <wp:posOffset>102235</wp:posOffset>
                </wp:positionV>
                <wp:extent cx="2921000" cy="381000"/>
                <wp:effectExtent l="0" t="0" r="0" b="0"/>
                <wp:wrapNone/>
                <wp:docPr id="11796347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1081F" w14:textId="7E1D8830" w:rsidR="00E12EFF" w:rsidRDefault="00E12EF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0E4022C" wp14:editId="7E006D46">
                                  <wp:extent cx="2921000" cy="381000"/>
                                  <wp:effectExtent l="0" t="0" r="0" b="0"/>
                                  <wp:docPr id="2" name="Picture 1" descr="Logo of Purdue University featuring a large gold and black &quot;P&quot; followed by the text &quot;PURDUE UNIVERSITY&quot; in bold black letters. To the right, separated by a vertical line, is the text &quot;University Senate&quot; in black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large gold and black &quot;P&quot; followed by the text &quot;PURDUE UNIVERSITY&quot; in bold black letters. To the right, separated by a vertical line, is the text &quot;University Senate&quot; in black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F16E25" w14:textId="77777777" w:rsidR="00E12EFF" w:rsidRDefault="00E12EF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5D3E6" id="Rectangle 2" o:spid="_x0000_s1026" style="position:absolute;left:0;text-align:left;margin-left:77.35pt;margin-top:8.05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xNzAEAAIcDAAAOAAAAZHJzL2Uyb0RvYy54bWysU9tu2zAMfR+wfxD0vtjOg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" o:allowincell="f" filled="f" stroked="f">
                <v:textbox inset="0,0,0,0">
                  <w:txbxContent>
                    <w:p w14:paraId="6791081F" w14:textId="7E1D8830" w:rsidR="00E12EFF" w:rsidRDefault="00E12EFF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0E4022C" wp14:editId="7E006D46">
                            <wp:extent cx="2921000" cy="381000"/>
                            <wp:effectExtent l="0" t="0" r="0" b="0"/>
                            <wp:docPr id="2" name="Picture 1" descr="Logo of Purdue University featuring a large gold and black &quot;P&quot; followed by the text &quot;PURDUE UNIVERSITY&quot; in bold black letters. To the right, separated by a vertical line, is the text &quot;University Senate&quot; in black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large gold and black &quot;P&quot; followed by the text &quot;PURDUE UNIVERSITY&quot; in bold black letters. To the right, separated by a vertical line, is the text &quot;University Senate&quot; in black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10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F16E25" w14:textId="77777777" w:rsidR="00E12EFF" w:rsidRDefault="00E12EF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Franklin Gothic Book" w:hAnsi="Franklin Gothic Book" w:cs="Franklin Gothic Book"/>
          <w:sz w:val="24"/>
          <w:szCs w:val="24"/>
        </w:rPr>
        <w:t>University</w:t>
      </w:r>
      <w:r>
        <w:rPr>
          <w:rFonts w:ascii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hAnsi="Franklin Gothic Book" w:cs="Franklin Gothic Book"/>
          <w:sz w:val="24"/>
          <w:szCs w:val="24"/>
        </w:rPr>
        <w:t>Senate</w:t>
      </w:r>
      <w:r>
        <w:rPr>
          <w:rFonts w:ascii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hAnsi="Franklin Gothic Book" w:cs="Franklin Gothic Book"/>
          <w:sz w:val="24"/>
          <w:szCs w:val="24"/>
        </w:rPr>
        <w:t>Questions and</w:t>
      </w:r>
      <w:r>
        <w:rPr>
          <w:rFonts w:ascii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hAnsi="Franklin Gothic Book" w:cs="Franklin Gothic Book"/>
          <w:sz w:val="24"/>
          <w:szCs w:val="24"/>
        </w:rPr>
        <w:t>Administrative</w:t>
      </w:r>
      <w:r>
        <w:rPr>
          <w:rFonts w:ascii="Franklin Gothic Book" w:hAnsi="Franklin Gothic Book" w:cs="Franklin Gothic Book"/>
          <w:spacing w:val="-2"/>
          <w:sz w:val="24"/>
          <w:szCs w:val="24"/>
        </w:rPr>
        <w:t xml:space="preserve"> Responses</w:t>
      </w:r>
    </w:p>
    <w:p w14:paraId="3C606DE7" w14:textId="77777777" w:rsidR="00E12EFF" w:rsidRDefault="00E12EFF">
      <w:pPr>
        <w:pStyle w:val="BodyText"/>
        <w:kinsoku w:val="0"/>
        <w:overflowPunct w:val="0"/>
        <w:spacing w:before="87"/>
        <w:ind w:left="7972"/>
        <w:rPr>
          <w:rFonts w:ascii="Franklin Gothic Book" w:hAnsi="Franklin Gothic Book" w:cs="Franklin Gothic Book"/>
          <w:spacing w:val="-4"/>
          <w:sz w:val="24"/>
          <w:szCs w:val="24"/>
        </w:rPr>
      </w:pPr>
      <w:r>
        <w:rPr>
          <w:rFonts w:ascii="Franklin Gothic Book" w:hAnsi="Franklin Gothic Book" w:cs="Franklin Gothic Book"/>
          <w:sz w:val="24"/>
          <w:szCs w:val="24"/>
        </w:rPr>
        <w:t>26</w:t>
      </w:r>
      <w:r>
        <w:rPr>
          <w:rFonts w:ascii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hAnsi="Franklin Gothic Book" w:cs="Franklin Gothic Book"/>
          <w:sz w:val="24"/>
          <w:szCs w:val="24"/>
        </w:rPr>
        <w:t xml:space="preserve">January </w:t>
      </w:r>
      <w:r>
        <w:rPr>
          <w:rFonts w:ascii="Franklin Gothic Book" w:hAnsi="Franklin Gothic Book" w:cs="Franklin Gothic Book"/>
          <w:spacing w:val="-4"/>
          <w:sz w:val="24"/>
          <w:szCs w:val="24"/>
        </w:rPr>
        <w:t>2026</w:t>
      </w:r>
    </w:p>
    <w:p w14:paraId="5A651A46" w14:textId="77777777" w:rsidR="00E12EFF" w:rsidRDefault="00E12EFF">
      <w:pPr>
        <w:pStyle w:val="BodyText"/>
        <w:kinsoku w:val="0"/>
        <w:overflowPunct w:val="0"/>
        <w:spacing w:before="146"/>
        <w:rPr>
          <w:rFonts w:ascii="Franklin Gothic Book" w:hAnsi="Franklin Gothic Book" w:cs="Franklin Gothic Book"/>
          <w:sz w:val="28"/>
          <w:szCs w:val="28"/>
        </w:rPr>
      </w:pPr>
    </w:p>
    <w:p w14:paraId="73ADC3B9" w14:textId="77777777" w:rsidR="00E12EFF" w:rsidRDefault="00E12EFF">
      <w:pPr>
        <w:pStyle w:val="Heading1"/>
        <w:kinsoku w:val="0"/>
        <w:overflowPunct w:val="0"/>
        <w:rPr>
          <w:color w:val="635D5E"/>
          <w:u w:val="none"/>
        </w:rPr>
      </w:pPr>
      <w:bookmarkStart w:id="0" w:name="Federal_and_State_Grant_Cuts_for_Promoti"/>
      <w:bookmarkEnd w:id="0"/>
      <w:r>
        <w:rPr>
          <w:color w:val="635D5E"/>
        </w:rPr>
        <w:t>Federal</w:t>
      </w:r>
      <w:r>
        <w:rPr>
          <w:color w:val="635D5E"/>
          <w:spacing w:val="-10"/>
        </w:rPr>
        <w:t xml:space="preserve"> </w:t>
      </w:r>
      <w:r>
        <w:rPr>
          <w:color w:val="635D5E"/>
        </w:rPr>
        <w:t>and</w:t>
      </w:r>
      <w:r>
        <w:rPr>
          <w:color w:val="635D5E"/>
          <w:spacing w:val="-10"/>
        </w:rPr>
        <w:t xml:space="preserve"> </w:t>
      </w:r>
      <w:r>
        <w:rPr>
          <w:color w:val="635D5E"/>
        </w:rPr>
        <w:t>State</w:t>
      </w:r>
      <w:r>
        <w:rPr>
          <w:color w:val="635D5E"/>
          <w:spacing w:val="-10"/>
        </w:rPr>
        <w:t xml:space="preserve"> </w:t>
      </w:r>
      <w:r>
        <w:rPr>
          <w:color w:val="635D5E"/>
        </w:rPr>
        <w:t>Grant</w:t>
      </w:r>
      <w:r>
        <w:rPr>
          <w:color w:val="635D5E"/>
          <w:spacing w:val="-10"/>
        </w:rPr>
        <w:t xml:space="preserve"> </w:t>
      </w:r>
      <w:r>
        <w:rPr>
          <w:color w:val="635D5E"/>
        </w:rPr>
        <w:t>Cuts</w:t>
      </w:r>
      <w:r>
        <w:rPr>
          <w:color w:val="635D5E"/>
          <w:spacing w:val="-9"/>
        </w:rPr>
        <w:t xml:space="preserve"> </w:t>
      </w:r>
      <w:r>
        <w:rPr>
          <w:color w:val="635D5E"/>
        </w:rPr>
        <w:t>for</w:t>
      </w:r>
      <w:r>
        <w:rPr>
          <w:color w:val="635D5E"/>
          <w:spacing w:val="-10"/>
        </w:rPr>
        <w:t xml:space="preserve"> </w:t>
      </w:r>
      <w:r>
        <w:rPr>
          <w:color w:val="635D5E"/>
        </w:rPr>
        <w:t>Promotion</w:t>
      </w:r>
      <w:r>
        <w:rPr>
          <w:color w:val="635D5E"/>
          <w:spacing w:val="-10"/>
        </w:rPr>
        <w:t xml:space="preserve"> </w:t>
      </w:r>
      <w:r>
        <w:rPr>
          <w:color w:val="635D5E"/>
        </w:rPr>
        <w:t>and</w:t>
      </w:r>
      <w:r>
        <w:rPr>
          <w:color w:val="635D5E"/>
          <w:spacing w:val="-9"/>
        </w:rPr>
        <w:t xml:space="preserve"> </w:t>
      </w:r>
      <w:r>
        <w:rPr>
          <w:color w:val="635D5E"/>
          <w:spacing w:val="-2"/>
        </w:rPr>
        <w:t>Tenure</w:t>
      </w:r>
    </w:p>
    <w:p w14:paraId="6C3A774E" w14:textId="77777777" w:rsidR="00E12EFF" w:rsidRDefault="00E12EFF">
      <w:pPr>
        <w:pStyle w:val="Heading2"/>
        <w:kinsoku w:val="0"/>
        <w:overflowPunct w:val="0"/>
        <w:spacing w:before="112" w:line="264" w:lineRule="auto"/>
        <w:rPr>
          <w:color w:val="6A522D"/>
        </w:rPr>
      </w:pPr>
      <w:r>
        <w:rPr>
          <w:color w:val="6A522D"/>
        </w:rPr>
        <w:t>How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will</w:t>
      </w:r>
      <w:r>
        <w:rPr>
          <w:color w:val="6A522D"/>
          <w:spacing w:val="-3"/>
        </w:rPr>
        <w:t xml:space="preserve"> </w:t>
      </w:r>
      <w:r>
        <w:rPr>
          <w:color w:val="6A522D"/>
        </w:rPr>
        <w:t>promotion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and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tenure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policies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change</w:t>
      </w:r>
      <w:r>
        <w:rPr>
          <w:color w:val="6A522D"/>
          <w:spacing w:val="-3"/>
        </w:rPr>
        <w:t xml:space="preserve"> </w:t>
      </w:r>
      <w:r>
        <w:rPr>
          <w:color w:val="6A522D"/>
        </w:rPr>
        <w:t>in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the</w:t>
      </w:r>
      <w:r>
        <w:rPr>
          <w:color w:val="6A522D"/>
          <w:spacing w:val="-3"/>
        </w:rPr>
        <w:t xml:space="preserve"> </w:t>
      </w:r>
      <w:r>
        <w:rPr>
          <w:color w:val="6A522D"/>
        </w:rPr>
        <w:t>long-term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to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respond</w:t>
      </w:r>
      <w:r>
        <w:rPr>
          <w:color w:val="6A522D"/>
          <w:spacing w:val="-2"/>
        </w:rPr>
        <w:t xml:space="preserve"> </w:t>
      </w:r>
      <w:r>
        <w:rPr>
          <w:color w:val="6A522D"/>
        </w:rPr>
        <w:t>to</w:t>
      </w:r>
      <w:r>
        <w:rPr>
          <w:color w:val="6A522D"/>
          <w:spacing w:val="-3"/>
        </w:rPr>
        <w:t xml:space="preserve"> </w:t>
      </w:r>
      <w:r>
        <w:rPr>
          <w:color w:val="6A522D"/>
        </w:rPr>
        <w:t>the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cuts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in federal</w:t>
      </w:r>
      <w:r>
        <w:rPr>
          <w:color w:val="6A522D"/>
          <w:spacing w:val="-1"/>
        </w:rPr>
        <w:t xml:space="preserve"> </w:t>
      </w:r>
      <w:r>
        <w:rPr>
          <w:color w:val="6A522D"/>
        </w:rPr>
        <w:t>grant</w:t>
      </w:r>
      <w:r>
        <w:rPr>
          <w:color w:val="6A522D"/>
          <w:spacing w:val="-2"/>
        </w:rPr>
        <w:t xml:space="preserve"> </w:t>
      </w:r>
      <w:r>
        <w:rPr>
          <w:color w:val="6A522D"/>
        </w:rPr>
        <w:t>funding</w:t>
      </w:r>
      <w:r>
        <w:rPr>
          <w:color w:val="6A522D"/>
          <w:spacing w:val="-1"/>
        </w:rPr>
        <w:t xml:space="preserve"> </w:t>
      </w:r>
      <w:r>
        <w:rPr>
          <w:color w:val="6A522D"/>
        </w:rPr>
        <w:t>and the additional pressure on foundations and state-level grants?</w:t>
      </w:r>
    </w:p>
    <w:p w14:paraId="19FFE925" w14:textId="77777777" w:rsidR="00E12EFF" w:rsidRDefault="00E12EFF">
      <w:pPr>
        <w:pStyle w:val="ListParagraph"/>
        <w:numPr>
          <w:ilvl w:val="0"/>
          <w:numId w:val="1"/>
        </w:numPr>
        <w:tabs>
          <w:tab w:val="left" w:pos="603"/>
          <w:tab w:val="left" w:pos="715"/>
        </w:tabs>
        <w:kinsoku w:val="0"/>
        <w:overflowPunct w:val="0"/>
        <w:spacing w:line="256" w:lineRule="auto"/>
        <w:ind w:right="418" w:hanging="370"/>
        <w:rPr>
          <w:sz w:val="22"/>
          <w:szCs w:val="22"/>
        </w:rPr>
      </w:pPr>
      <w:r>
        <w:rPr>
          <w:sz w:val="22"/>
          <w:szCs w:val="22"/>
        </w:rPr>
        <w:t>We continue to carefully monitor changes in the federal funding landscape and are mindful of the potential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impact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faculty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productivity.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-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promotions</w:t>
      </w:r>
      <w:proofErr w:type="gramEnd"/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procedures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documents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already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include mechanisms to report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address instances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where external factors beyond 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candidate’s control have substantially impacted their progress. In addition, the University has been helping faculty identify and pursue a broad range of opportunities for funding.</w:t>
      </w:r>
    </w:p>
    <w:p w14:paraId="099FE306" w14:textId="77777777" w:rsidR="00E12EFF" w:rsidRDefault="00E12EFF">
      <w:pPr>
        <w:pStyle w:val="BodyText"/>
        <w:kinsoku w:val="0"/>
        <w:overflowPunct w:val="0"/>
      </w:pPr>
    </w:p>
    <w:p w14:paraId="55D50198" w14:textId="77777777" w:rsidR="00E12EFF" w:rsidRDefault="00E12EFF">
      <w:pPr>
        <w:pStyle w:val="BodyText"/>
        <w:kinsoku w:val="0"/>
        <w:overflowPunct w:val="0"/>
      </w:pPr>
    </w:p>
    <w:p w14:paraId="67AB08B2" w14:textId="77777777" w:rsidR="00E12EFF" w:rsidRDefault="00E12EFF">
      <w:pPr>
        <w:pStyle w:val="BodyText"/>
        <w:kinsoku w:val="0"/>
        <w:overflowPunct w:val="0"/>
        <w:spacing w:before="110"/>
      </w:pPr>
    </w:p>
    <w:p w14:paraId="277984C2" w14:textId="77777777" w:rsidR="00E12EFF" w:rsidRDefault="00E12EFF">
      <w:pPr>
        <w:pStyle w:val="Heading1"/>
        <w:kinsoku w:val="0"/>
        <w:overflowPunct w:val="0"/>
        <w:rPr>
          <w:color w:val="635D5E"/>
          <w:u w:val="none"/>
        </w:rPr>
      </w:pPr>
      <w:bookmarkStart w:id="1" w:name="Timeline_-_COACHE_Survey"/>
      <w:bookmarkEnd w:id="1"/>
      <w:r>
        <w:rPr>
          <w:color w:val="635D5E"/>
        </w:rPr>
        <w:t>Timeline</w:t>
      </w:r>
      <w:r>
        <w:rPr>
          <w:color w:val="635D5E"/>
          <w:spacing w:val="-8"/>
        </w:rPr>
        <w:t xml:space="preserve"> </w:t>
      </w:r>
      <w:r>
        <w:rPr>
          <w:color w:val="635D5E"/>
        </w:rPr>
        <w:t>-</w:t>
      </w:r>
      <w:r>
        <w:rPr>
          <w:color w:val="635D5E"/>
          <w:spacing w:val="-7"/>
        </w:rPr>
        <w:t xml:space="preserve"> </w:t>
      </w:r>
      <w:r>
        <w:rPr>
          <w:color w:val="635D5E"/>
        </w:rPr>
        <w:t>COACHE</w:t>
      </w:r>
      <w:r>
        <w:rPr>
          <w:color w:val="635D5E"/>
          <w:spacing w:val="-7"/>
        </w:rPr>
        <w:t xml:space="preserve"> </w:t>
      </w:r>
      <w:r>
        <w:rPr>
          <w:color w:val="635D5E"/>
          <w:spacing w:val="-2"/>
        </w:rPr>
        <w:t>Survey</w:t>
      </w:r>
    </w:p>
    <w:p w14:paraId="7BE6D61F" w14:textId="77777777" w:rsidR="00E12EFF" w:rsidRDefault="00E12EFF">
      <w:pPr>
        <w:pStyle w:val="Heading2"/>
        <w:kinsoku w:val="0"/>
        <w:overflowPunct w:val="0"/>
        <w:ind w:left="345" w:right="0" w:firstLine="0"/>
        <w:rPr>
          <w:color w:val="6A522D"/>
          <w:spacing w:val="-2"/>
        </w:rPr>
      </w:pPr>
      <w:r>
        <w:rPr>
          <w:color w:val="6A522D"/>
        </w:rPr>
        <w:t>When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should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Senators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anticipate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the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COACHE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survey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data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being</w:t>
      </w:r>
      <w:r>
        <w:rPr>
          <w:color w:val="6A522D"/>
          <w:spacing w:val="-7"/>
        </w:rPr>
        <w:t xml:space="preserve"> </w:t>
      </w:r>
      <w:r>
        <w:rPr>
          <w:color w:val="6A522D"/>
          <w:spacing w:val="-2"/>
        </w:rPr>
        <w:t>released?</w:t>
      </w:r>
    </w:p>
    <w:p w14:paraId="61B166AF" w14:textId="77777777" w:rsidR="00E12EFF" w:rsidRDefault="00E12EFF">
      <w:pPr>
        <w:pStyle w:val="ListParagraph"/>
        <w:numPr>
          <w:ilvl w:val="0"/>
          <w:numId w:val="1"/>
        </w:numPr>
        <w:tabs>
          <w:tab w:val="left" w:pos="603"/>
          <w:tab w:val="left" w:pos="715"/>
        </w:tabs>
        <w:kinsoku w:val="0"/>
        <w:overflowPunct w:val="0"/>
        <w:spacing w:before="134" w:line="256" w:lineRule="auto"/>
        <w:ind w:right="870" w:hanging="370"/>
        <w:rPr>
          <w:sz w:val="22"/>
          <w:szCs w:val="22"/>
        </w:rPr>
      </w:pPr>
      <w:r>
        <w:rPr>
          <w:sz w:val="22"/>
          <w:szCs w:val="22"/>
        </w:rPr>
        <w:t>Once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receive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complete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analysis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Harvard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University,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provost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 Harvard COACHE survey results at college-level meetings during the spring semester.</w:t>
      </w:r>
    </w:p>
    <w:p w14:paraId="6DBD387D" w14:textId="77777777" w:rsidR="00E12EFF" w:rsidRDefault="00E12EFF">
      <w:pPr>
        <w:pStyle w:val="BodyText"/>
        <w:kinsoku w:val="0"/>
        <w:overflowPunct w:val="0"/>
      </w:pPr>
    </w:p>
    <w:p w14:paraId="0F2D095A" w14:textId="77777777" w:rsidR="00E12EFF" w:rsidRDefault="00E12EFF">
      <w:pPr>
        <w:pStyle w:val="BodyText"/>
        <w:kinsoku w:val="0"/>
        <w:overflowPunct w:val="0"/>
      </w:pPr>
    </w:p>
    <w:p w14:paraId="4DCC7193" w14:textId="77777777" w:rsidR="00E12EFF" w:rsidRDefault="00E12EFF">
      <w:pPr>
        <w:pStyle w:val="BodyText"/>
        <w:kinsoku w:val="0"/>
        <w:overflowPunct w:val="0"/>
        <w:spacing w:before="87"/>
      </w:pPr>
    </w:p>
    <w:p w14:paraId="372DF0DD" w14:textId="77777777" w:rsidR="00E12EFF" w:rsidRDefault="00E12EFF">
      <w:pPr>
        <w:pStyle w:val="Heading1"/>
        <w:kinsoku w:val="0"/>
        <w:overflowPunct w:val="0"/>
        <w:rPr>
          <w:color w:val="635D5E"/>
          <w:u w:val="none"/>
        </w:rPr>
      </w:pPr>
      <w:bookmarkStart w:id="2" w:name="Evaluation_Metrics_and_Interpretation_of"/>
      <w:bookmarkEnd w:id="2"/>
      <w:r>
        <w:rPr>
          <w:color w:val="635D5E"/>
        </w:rPr>
        <w:t>Evaluation</w:t>
      </w:r>
      <w:r>
        <w:rPr>
          <w:color w:val="635D5E"/>
          <w:spacing w:val="-16"/>
        </w:rPr>
        <w:t xml:space="preserve"> </w:t>
      </w:r>
      <w:r>
        <w:rPr>
          <w:color w:val="635D5E"/>
        </w:rPr>
        <w:t>Metrics</w:t>
      </w:r>
      <w:r>
        <w:rPr>
          <w:color w:val="635D5E"/>
          <w:spacing w:val="-13"/>
        </w:rPr>
        <w:t xml:space="preserve"> </w:t>
      </w:r>
      <w:r>
        <w:rPr>
          <w:color w:val="635D5E"/>
        </w:rPr>
        <w:t>and</w:t>
      </w:r>
      <w:r>
        <w:rPr>
          <w:color w:val="635D5E"/>
          <w:spacing w:val="-15"/>
        </w:rPr>
        <w:t xml:space="preserve"> </w:t>
      </w:r>
      <w:r>
        <w:rPr>
          <w:color w:val="635D5E"/>
        </w:rPr>
        <w:t>Interpretation</w:t>
      </w:r>
      <w:r>
        <w:rPr>
          <w:color w:val="635D5E"/>
          <w:spacing w:val="-15"/>
        </w:rPr>
        <w:t xml:space="preserve"> </w:t>
      </w:r>
      <w:r>
        <w:rPr>
          <w:color w:val="635D5E"/>
        </w:rPr>
        <w:t>of</w:t>
      </w:r>
      <w:r>
        <w:rPr>
          <w:color w:val="635D5E"/>
          <w:spacing w:val="-13"/>
        </w:rPr>
        <w:t xml:space="preserve"> </w:t>
      </w:r>
      <w:r>
        <w:rPr>
          <w:color w:val="635D5E"/>
        </w:rPr>
        <w:t>Policy</w:t>
      </w:r>
      <w:r>
        <w:rPr>
          <w:color w:val="635D5E"/>
          <w:spacing w:val="-14"/>
        </w:rPr>
        <w:t xml:space="preserve"> </w:t>
      </w:r>
      <w:r>
        <w:rPr>
          <w:color w:val="635D5E"/>
        </w:rPr>
        <w:t>S-</w:t>
      </w:r>
      <w:r>
        <w:rPr>
          <w:color w:val="635D5E"/>
          <w:spacing w:val="-10"/>
        </w:rPr>
        <w:t>4</w:t>
      </w:r>
    </w:p>
    <w:p w14:paraId="787E2DAA" w14:textId="77777777" w:rsidR="00E12EFF" w:rsidRDefault="00E12EFF">
      <w:pPr>
        <w:pStyle w:val="BodyText"/>
        <w:kinsoku w:val="0"/>
        <w:overflowPunct w:val="0"/>
        <w:spacing w:before="111" w:line="261" w:lineRule="auto"/>
        <w:ind w:left="355" w:right="372" w:hanging="10"/>
        <w:rPr>
          <w:color w:val="6A522D"/>
          <w:sz w:val="24"/>
          <w:szCs w:val="24"/>
        </w:rPr>
      </w:pPr>
      <w:r>
        <w:rPr>
          <w:color w:val="6A522D"/>
          <w:sz w:val="24"/>
          <w:szCs w:val="24"/>
        </w:rPr>
        <w:t>Purdue</w:t>
      </w:r>
      <w:r>
        <w:rPr>
          <w:color w:val="6A522D"/>
          <w:spacing w:val="-9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University</w:t>
      </w:r>
      <w:r>
        <w:rPr>
          <w:color w:val="6A522D"/>
          <w:spacing w:val="-8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makes</w:t>
      </w:r>
      <w:r>
        <w:rPr>
          <w:color w:val="6A522D"/>
          <w:spacing w:val="-10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extensive</w:t>
      </w:r>
      <w:r>
        <w:rPr>
          <w:color w:val="6A522D"/>
          <w:spacing w:val="-9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use</w:t>
      </w:r>
      <w:r>
        <w:rPr>
          <w:color w:val="6A522D"/>
          <w:spacing w:val="-8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of</w:t>
      </w:r>
      <w:r>
        <w:rPr>
          <w:color w:val="6A522D"/>
          <w:spacing w:val="-9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quantitative</w:t>
      </w:r>
      <w:r>
        <w:rPr>
          <w:color w:val="6A522D"/>
          <w:spacing w:val="-8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productivity</w:t>
      </w:r>
      <w:r>
        <w:rPr>
          <w:color w:val="6A522D"/>
          <w:spacing w:val="-8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metrics</w:t>
      </w:r>
      <w:r>
        <w:rPr>
          <w:color w:val="6A522D"/>
          <w:spacing w:val="-8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in</w:t>
      </w:r>
      <w:r>
        <w:rPr>
          <w:color w:val="6A522D"/>
          <w:spacing w:val="-9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faculty</w:t>
      </w:r>
      <w:r>
        <w:rPr>
          <w:color w:val="6A522D"/>
          <w:spacing w:val="-8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evaluation, despite signiﬁcant disciplinary diﬀerences in research and teaching outputs. How is the university</w:t>
      </w:r>
      <w:r>
        <w:rPr>
          <w:color w:val="6A522D"/>
          <w:spacing w:val="-6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ensuring</w:t>
      </w:r>
      <w:r>
        <w:rPr>
          <w:color w:val="6A522D"/>
          <w:spacing w:val="-6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that</w:t>
      </w:r>
      <w:r>
        <w:rPr>
          <w:color w:val="6A522D"/>
          <w:spacing w:val="-7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these</w:t>
      </w:r>
      <w:r>
        <w:rPr>
          <w:color w:val="6A522D"/>
          <w:spacing w:val="-5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metrics</w:t>
      </w:r>
      <w:r>
        <w:rPr>
          <w:color w:val="6A522D"/>
          <w:spacing w:val="-6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are</w:t>
      </w:r>
      <w:r>
        <w:rPr>
          <w:color w:val="6A522D"/>
          <w:spacing w:val="-5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applied</w:t>
      </w:r>
      <w:r>
        <w:rPr>
          <w:color w:val="6A522D"/>
          <w:spacing w:val="-7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in</w:t>
      </w:r>
      <w:r>
        <w:rPr>
          <w:color w:val="6A522D"/>
          <w:spacing w:val="-4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ways</w:t>
      </w:r>
      <w:r>
        <w:rPr>
          <w:color w:val="6A522D"/>
          <w:spacing w:val="-6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that</w:t>
      </w:r>
      <w:r>
        <w:rPr>
          <w:color w:val="6A522D"/>
          <w:spacing w:val="-7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are</w:t>
      </w:r>
      <w:r>
        <w:rPr>
          <w:color w:val="6A522D"/>
          <w:spacing w:val="-8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discipline-appropriate</w:t>
      </w:r>
      <w:r>
        <w:rPr>
          <w:color w:val="6A522D"/>
          <w:spacing w:val="-7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and</w:t>
      </w:r>
      <w:r>
        <w:rPr>
          <w:color w:val="6A522D"/>
          <w:spacing w:val="-4"/>
          <w:sz w:val="24"/>
          <w:szCs w:val="24"/>
        </w:rPr>
        <w:t xml:space="preserve"> </w:t>
      </w:r>
      <w:r>
        <w:rPr>
          <w:color w:val="6A522D"/>
          <w:sz w:val="24"/>
          <w:szCs w:val="24"/>
        </w:rPr>
        <w:t>do not create unintended incentives? Relatedly, how does the administration interpret Purdue Policy S-4 with respect to the reporting of Teaching Productivity Metrics, particularly the practice of requiring non-tenured faculty to report this information in Elements as part of annual review? (</w:t>
      </w:r>
      <w:hyperlink r:id="rId10" w:history="1">
        <w:r>
          <w:rPr>
            <w:color w:val="6A522D"/>
            <w:sz w:val="24"/>
            <w:szCs w:val="24"/>
          </w:rPr>
          <w:t>https://www.purdue.edu/vpec/policies/academic-research-aﬀairs/s4/)</w:t>
        </w:r>
      </w:hyperlink>
    </w:p>
    <w:p w14:paraId="1BAADBBB" w14:textId="77777777" w:rsidR="00E12EFF" w:rsidRDefault="00E12EFF">
      <w:pPr>
        <w:pStyle w:val="ListParagraph"/>
        <w:numPr>
          <w:ilvl w:val="0"/>
          <w:numId w:val="1"/>
        </w:numPr>
        <w:tabs>
          <w:tab w:val="left" w:pos="618"/>
          <w:tab w:val="left" w:pos="720"/>
        </w:tabs>
        <w:kinsoku w:val="0"/>
        <w:overflowPunct w:val="0"/>
        <w:spacing w:before="110" w:line="259" w:lineRule="auto"/>
        <w:ind w:left="720" w:right="384" w:hanging="360"/>
        <w:rPr>
          <w:color w:val="000000"/>
          <w:sz w:val="22"/>
          <w:szCs w:val="22"/>
        </w:rPr>
      </w:pPr>
      <w:r>
        <w:rPr>
          <w:color w:val="232323"/>
          <w:sz w:val="22"/>
          <w:szCs w:val="22"/>
        </w:rPr>
        <w:t xml:space="preserve">Our annual </w:t>
      </w:r>
      <w:proofErr w:type="gramStart"/>
      <w:r>
        <w:rPr>
          <w:color w:val="232323"/>
          <w:sz w:val="22"/>
          <w:szCs w:val="22"/>
        </w:rPr>
        <w:t>evaluation, and</w:t>
      </w:r>
      <w:proofErr w:type="gramEnd"/>
      <w:r>
        <w:rPr>
          <w:color w:val="232323"/>
          <w:sz w:val="22"/>
          <w:szCs w:val="22"/>
        </w:rPr>
        <w:t xml:space="preserve"> promotion and tenure procedures are built on discipline-speciﬁc criteria and</w:t>
      </w:r>
      <w:r>
        <w:rPr>
          <w:color w:val="232323"/>
          <w:spacing w:val="-7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expectations.</w:t>
      </w:r>
      <w:r>
        <w:rPr>
          <w:color w:val="232323"/>
          <w:spacing w:val="-8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These</w:t>
      </w:r>
      <w:r>
        <w:rPr>
          <w:color w:val="232323"/>
          <w:spacing w:val="-5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variations,</w:t>
      </w:r>
      <w:r>
        <w:rPr>
          <w:color w:val="232323"/>
          <w:spacing w:val="-6"/>
          <w:sz w:val="22"/>
          <w:szCs w:val="22"/>
        </w:rPr>
        <w:t xml:space="preserve"> </w:t>
      </w:r>
      <w:proofErr w:type="gramStart"/>
      <w:r>
        <w:rPr>
          <w:color w:val="232323"/>
          <w:sz w:val="22"/>
          <w:szCs w:val="22"/>
        </w:rPr>
        <w:t>and</w:t>
      </w:r>
      <w:r>
        <w:rPr>
          <w:color w:val="232323"/>
          <w:spacing w:val="-7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also</w:t>
      </w:r>
      <w:proofErr w:type="gramEnd"/>
      <w:r>
        <w:rPr>
          <w:color w:val="232323"/>
          <w:spacing w:val="-5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the</w:t>
      </w:r>
      <w:r>
        <w:rPr>
          <w:color w:val="232323"/>
          <w:spacing w:val="-5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variations</w:t>
      </w:r>
      <w:r>
        <w:rPr>
          <w:color w:val="232323"/>
          <w:spacing w:val="-6"/>
          <w:sz w:val="22"/>
          <w:szCs w:val="22"/>
        </w:rPr>
        <w:t xml:space="preserve"> </w:t>
      </w:r>
      <w:proofErr w:type="gramStart"/>
      <w:r>
        <w:rPr>
          <w:color w:val="232323"/>
          <w:sz w:val="22"/>
          <w:szCs w:val="22"/>
        </w:rPr>
        <w:t>in</w:t>
      </w:r>
      <w:r>
        <w:rPr>
          <w:color w:val="232323"/>
          <w:spacing w:val="-7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the</w:t>
      </w:r>
      <w:r>
        <w:rPr>
          <w:color w:val="232323"/>
          <w:spacing w:val="-8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nature</w:t>
      </w:r>
      <w:r>
        <w:rPr>
          <w:color w:val="232323"/>
          <w:spacing w:val="-8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of</w:t>
      </w:r>
      <w:r>
        <w:rPr>
          <w:color w:val="232323"/>
          <w:spacing w:val="-6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faculty</w:t>
      </w:r>
      <w:proofErr w:type="gramEnd"/>
      <w:r>
        <w:rPr>
          <w:color w:val="232323"/>
          <w:spacing w:val="-5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>appointments,</w:t>
      </w:r>
      <w:r>
        <w:rPr>
          <w:color w:val="232323"/>
          <w:spacing w:val="-6"/>
          <w:sz w:val="22"/>
          <w:szCs w:val="22"/>
        </w:rPr>
        <w:t xml:space="preserve"> </w:t>
      </w:r>
      <w:r>
        <w:rPr>
          <w:color w:val="232323"/>
          <w:sz w:val="22"/>
          <w:szCs w:val="22"/>
        </w:rPr>
        <w:t xml:space="preserve">are central considerations as we adapt our practices to comply with State and Federal laws. Collecting teaching productivity metrics for all faculty who teach allows each department to </w:t>
      </w:r>
      <w:r>
        <w:rPr>
          <w:color w:val="000000"/>
          <w:sz w:val="22"/>
          <w:szCs w:val="22"/>
        </w:rPr>
        <w:t>develop a complete picture of teaching workload.</w:t>
      </w:r>
    </w:p>
    <w:p w14:paraId="04BC49E9" w14:textId="77777777" w:rsidR="00E12EFF" w:rsidRDefault="00E12EFF">
      <w:pPr>
        <w:pStyle w:val="BodyText"/>
        <w:kinsoku w:val="0"/>
        <w:overflowPunct w:val="0"/>
      </w:pPr>
    </w:p>
    <w:p w14:paraId="466C333B" w14:textId="77777777" w:rsidR="00E12EFF" w:rsidRDefault="00E12EFF">
      <w:pPr>
        <w:pStyle w:val="BodyText"/>
        <w:kinsoku w:val="0"/>
        <w:overflowPunct w:val="0"/>
      </w:pPr>
    </w:p>
    <w:p w14:paraId="3FF63221" w14:textId="77777777" w:rsidR="00E12EFF" w:rsidRDefault="00E12EFF">
      <w:pPr>
        <w:pStyle w:val="BodyText"/>
        <w:kinsoku w:val="0"/>
        <w:overflowPunct w:val="0"/>
        <w:spacing w:before="31"/>
      </w:pPr>
    </w:p>
    <w:p w14:paraId="62EDF1B4" w14:textId="77777777" w:rsidR="00E12EFF" w:rsidRDefault="00E12EFF">
      <w:pPr>
        <w:pStyle w:val="BodyText"/>
        <w:kinsoku w:val="0"/>
        <w:overflowPunct w:val="0"/>
        <w:ind w:right="341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1</w:t>
      </w:r>
    </w:p>
    <w:p w14:paraId="5D5E7ECD" w14:textId="77777777" w:rsidR="00E12EFF" w:rsidRDefault="00E12EFF">
      <w:pPr>
        <w:pStyle w:val="BodyText"/>
        <w:kinsoku w:val="0"/>
        <w:overflowPunct w:val="0"/>
        <w:ind w:right="341"/>
        <w:jc w:val="right"/>
        <w:rPr>
          <w:spacing w:val="-10"/>
          <w:sz w:val="24"/>
          <w:szCs w:val="24"/>
        </w:rPr>
        <w:sectPr w:rsidR="00E12EFF">
          <w:type w:val="continuous"/>
          <w:pgSz w:w="12240" w:h="15840"/>
          <w:pgMar w:top="1420" w:right="1080" w:bottom="280" w:left="1080" w:header="720" w:footer="720" w:gutter="0"/>
          <w:cols w:space="720"/>
          <w:noEndnote/>
        </w:sectPr>
      </w:pPr>
    </w:p>
    <w:p w14:paraId="0D335458" w14:textId="77777777" w:rsidR="00E12EFF" w:rsidRDefault="00E12EFF">
      <w:pPr>
        <w:pStyle w:val="Heading1"/>
        <w:kinsoku w:val="0"/>
        <w:overflowPunct w:val="0"/>
        <w:spacing w:before="32"/>
        <w:rPr>
          <w:color w:val="635D5E"/>
          <w:u w:val="none"/>
        </w:rPr>
      </w:pPr>
      <w:bookmarkStart w:id="3" w:name="Graduate_Student_Cost_of_Living_Challeng"/>
      <w:bookmarkEnd w:id="3"/>
      <w:r>
        <w:rPr>
          <w:color w:val="635D5E"/>
        </w:rPr>
        <w:lastRenderedPageBreak/>
        <w:t>Graduate</w:t>
      </w:r>
      <w:r>
        <w:rPr>
          <w:color w:val="635D5E"/>
          <w:spacing w:val="-9"/>
        </w:rPr>
        <w:t xml:space="preserve"> </w:t>
      </w:r>
      <w:r>
        <w:rPr>
          <w:color w:val="635D5E"/>
        </w:rPr>
        <w:t>Student</w:t>
      </w:r>
      <w:r>
        <w:rPr>
          <w:color w:val="635D5E"/>
          <w:spacing w:val="-7"/>
        </w:rPr>
        <w:t xml:space="preserve"> </w:t>
      </w:r>
      <w:r>
        <w:rPr>
          <w:color w:val="635D5E"/>
        </w:rPr>
        <w:t>Cost</w:t>
      </w:r>
      <w:r>
        <w:rPr>
          <w:color w:val="635D5E"/>
          <w:spacing w:val="-9"/>
        </w:rPr>
        <w:t xml:space="preserve"> </w:t>
      </w:r>
      <w:r>
        <w:rPr>
          <w:color w:val="635D5E"/>
        </w:rPr>
        <w:t>of</w:t>
      </w:r>
      <w:r>
        <w:rPr>
          <w:color w:val="635D5E"/>
          <w:spacing w:val="-8"/>
        </w:rPr>
        <w:t xml:space="preserve"> </w:t>
      </w:r>
      <w:r>
        <w:rPr>
          <w:color w:val="635D5E"/>
        </w:rPr>
        <w:t>Living</w:t>
      </w:r>
      <w:r>
        <w:rPr>
          <w:color w:val="635D5E"/>
          <w:spacing w:val="-8"/>
        </w:rPr>
        <w:t xml:space="preserve"> </w:t>
      </w:r>
      <w:r>
        <w:rPr>
          <w:color w:val="635D5E"/>
          <w:spacing w:val="-2"/>
        </w:rPr>
        <w:t>Challenges</w:t>
      </w:r>
    </w:p>
    <w:p w14:paraId="05376D98" w14:textId="77777777" w:rsidR="00E12EFF" w:rsidRDefault="00E12EFF">
      <w:pPr>
        <w:pStyle w:val="Heading2"/>
        <w:kinsoku w:val="0"/>
        <w:overflowPunct w:val="0"/>
        <w:spacing w:before="112" w:line="261" w:lineRule="auto"/>
        <w:ind w:right="258"/>
        <w:rPr>
          <w:color w:val="6A522D"/>
        </w:rPr>
      </w:pPr>
      <w:r>
        <w:rPr>
          <w:color w:val="6A522D"/>
        </w:rPr>
        <w:t>What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steps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are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the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university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taking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to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address</w:t>
      </w:r>
      <w:r>
        <w:rPr>
          <w:color w:val="6A522D"/>
          <w:spacing w:val="-8"/>
        </w:rPr>
        <w:t xml:space="preserve"> </w:t>
      </w:r>
      <w:r>
        <w:rPr>
          <w:color w:val="6A522D"/>
        </w:rPr>
        <w:t>the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rising</w:t>
      </w:r>
      <w:r>
        <w:rPr>
          <w:color w:val="6A522D"/>
          <w:spacing w:val="-8"/>
        </w:rPr>
        <w:t xml:space="preserve"> </w:t>
      </w:r>
      <w:r>
        <w:rPr>
          <w:color w:val="6A522D"/>
        </w:rPr>
        <w:t>cost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of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living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in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West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Lafayette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and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its impact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on</w:t>
      </w:r>
      <w:r>
        <w:rPr>
          <w:color w:val="6A522D"/>
          <w:spacing w:val="-2"/>
        </w:rPr>
        <w:t xml:space="preserve"> </w:t>
      </w:r>
      <w:r>
        <w:rPr>
          <w:color w:val="6A522D"/>
        </w:rPr>
        <w:t>graduate</w:t>
      </w:r>
      <w:r>
        <w:rPr>
          <w:color w:val="6A522D"/>
          <w:spacing w:val="-3"/>
        </w:rPr>
        <w:t xml:space="preserve"> </w:t>
      </w:r>
      <w:r>
        <w:rPr>
          <w:color w:val="6A522D"/>
        </w:rPr>
        <w:t>students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(housing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availability/aﬀordability,</w:t>
      </w:r>
      <w:r>
        <w:rPr>
          <w:color w:val="6A522D"/>
          <w:spacing w:val="-3"/>
        </w:rPr>
        <w:t xml:space="preserve"> </w:t>
      </w:r>
      <w:r>
        <w:rPr>
          <w:color w:val="6A522D"/>
        </w:rPr>
        <w:t>stipends,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emergency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support)?</w:t>
      </w:r>
    </w:p>
    <w:p w14:paraId="3A74077B" w14:textId="77777777" w:rsidR="00E12EFF" w:rsidRDefault="00E12EFF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spacing w:before="107" w:line="256" w:lineRule="auto"/>
        <w:ind w:left="719" w:right="478" w:hanging="360"/>
        <w:rPr>
          <w:sz w:val="22"/>
          <w:szCs w:val="22"/>
        </w:rPr>
      </w:pPr>
      <w:r>
        <w:rPr>
          <w:sz w:val="22"/>
          <w:szCs w:val="22"/>
        </w:rPr>
        <w:t>We must together address the rising cost-of-living pressures aﬀecting graduate students, including through the Action Council on Student Housing and Well-being. For example, average graduate student stipend increased by 28% over the last 4 years and the total investment in graduate compensation increased by $53M annually over the last four years. For example, with about 8,000 new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apartments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online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around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campus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two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years,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housing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pricing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expected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 come down.</w:t>
      </w:r>
    </w:p>
    <w:p w14:paraId="104FDA6B" w14:textId="77777777" w:rsidR="00E12EFF" w:rsidRDefault="00E12EFF">
      <w:pPr>
        <w:pStyle w:val="ListParagraph"/>
        <w:numPr>
          <w:ilvl w:val="0"/>
          <w:numId w:val="1"/>
        </w:numPr>
        <w:tabs>
          <w:tab w:val="left" w:pos="718"/>
        </w:tabs>
        <w:kinsoku w:val="0"/>
        <w:overflowPunct w:val="0"/>
        <w:spacing w:before="9"/>
        <w:ind w:left="718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Graduate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students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faculty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ﬁnd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comprehensive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list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oﬃcial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funding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support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resources</w:t>
      </w:r>
    </w:p>
    <w:p w14:paraId="627B0174" w14:textId="77777777" w:rsidR="00E12EFF" w:rsidRDefault="00E12EFF">
      <w:pPr>
        <w:pStyle w:val="BodyText"/>
        <w:kinsoku w:val="0"/>
        <w:overflowPunct w:val="0"/>
        <w:spacing w:before="21" w:line="256" w:lineRule="auto"/>
        <w:ind w:left="719" w:right="398"/>
        <w:rPr>
          <w:spacing w:val="-2"/>
        </w:rPr>
      </w:pPr>
      <w:r>
        <w:t>— including assistantships, fellowships, grants, and related services — on the Oﬃce of the Vice Provost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Postdoctoral</w:t>
      </w:r>
      <w:r>
        <w:rPr>
          <w:spacing w:val="-10"/>
        </w:rPr>
        <w:t xml:space="preserve"> </w:t>
      </w:r>
      <w:r>
        <w:t>Scholars’</w:t>
      </w:r>
      <w:r>
        <w:rPr>
          <w:spacing w:val="-9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 xml:space="preserve">page: </w:t>
      </w:r>
      <w:hyperlink r:id="rId11" w:history="1">
        <w:r>
          <w:rPr>
            <w:spacing w:val="-2"/>
            <w:u w:val="single"/>
          </w:rPr>
          <w:t>https://www.purdue.edu/academics/ogsps/current</w:t>
        </w:r>
      </w:hyperlink>
      <w:hyperlink r:id="rId12" w:history="1">
        <w:r>
          <w:rPr>
            <w:spacing w:val="-2"/>
            <w:u w:val="single"/>
          </w:rPr>
          <w:t>-</w:t>
        </w:r>
      </w:hyperlink>
      <w:hyperlink r:id="rId13" w:history="1">
        <w:r>
          <w:rPr>
            <w:spacing w:val="-2"/>
            <w:u w:val="single"/>
          </w:rPr>
          <w:t>graduate</w:t>
        </w:r>
      </w:hyperlink>
      <w:hyperlink r:id="rId14" w:history="1">
        <w:r>
          <w:rPr>
            <w:spacing w:val="-2"/>
            <w:u w:val="single"/>
          </w:rPr>
          <w:t>-</w:t>
        </w:r>
      </w:hyperlink>
      <w:hyperlink r:id="rId15" w:history="1">
        <w:r>
          <w:rPr>
            <w:spacing w:val="-2"/>
            <w:u w:val="single"/>
          </w:rPr>
          <w:t>student</w:t>
        </w:r>
      </w:hyperlink>
      <w:hyperlink r:id="rId16" w:history="1">
        <w:r>
          <w:rPr>
            <w:spacing w:val="-2"/>
            <w:u w:val="single"/>
          </w:rPr>
          <w:t>-</w:t>
        </w:r>
      </w:hyperlink>
      <w:hyperlink r:id="rId17" w:history="1">
        <w:r>
          <w:rPr>
            <w:spacing w:val="-2"/>
            <w:u w:val="single"/>
          </w:rPr>
          <w:t>resources/</w:t>
        </w:r>
      </w:hyperlink>
    </w:p>
    <w:p w14:paraId="23F39D07" w14:textId="77777777" w:rsidR="00E12EFF" w:rsidRDefault="00E12EFF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spacing w:before="5" w:line="259" w:lineRule="auto"/>
        <w:ind w:left="719" w:right="371" w:hanging="360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addition,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Purdue’s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Purdue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Basic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Needs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provides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targeted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support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both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undergraduate and graduate students experiencing short-term ﬁnancial hardship or challenges meeting essential needs. The program is designed to address immediate barriers to student wellbeing and persistence and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includes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resources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related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food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security,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emergency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ﬁnancial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assistance,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housing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stability,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and connections to campus and community support services.</w:t>
      </w:r>
    </w:p>
    <w:p w14:paraId="53DBDFDF" w14:textId="77777777" w:rsidR="00E12EFF" w:rsidRDefault="00E12EFF">
      <w:pPr>
        <w:pStyle w:val="BodyText"/>
        <w:kinsoku w:val="0"/>
        <w:overflowPunct w:val="0"/>
        <w:spacing w:before="219"/>
      </w:pPr>
    </w:p>
    <w:p w14:paraId="35284F0B" w14:textId="77777777" w:rsidR="00E12EFF" w:rsidRDefault="00E12EFF">
      <w:pPr>
        <w:pStyle w:val="Heading1"/>
        <w:kinsoku w:val="0"/>
        <w:overflowPunct w:val="0"/>
        <w:rPr>
          <w:color w:val="635D5E"/>
          <w:u w:val="none"/>
        </w:rPr>
      </w:pPr>
      <w:bookmarkStart w:id="4" w:name="Admissions_and_Funding_Policies"/>
      <w:bookmarkEnd w:id="4"/>
      <w:r>
        <w:rPr>
          <w:color w:val="635D5E"/>
        </w:rPr>
        <w:t>Admissions</w:t>
      </w:r>
      <w:r>
        <w:rPr>
          <w:color w:val="635D5E"/>
          <w:spacing w:val="-7"/>
        </w:rPr>
        <w:t xml:space="preserve"> </w:t>
      </w:r>
      <w:r>
        <w:rPr>
          <w:color w:val="635D5E"/>
        </w:rPr>
        <w:t>and</w:t>
      </w:r>
      <w:r>
        <w:rPr>
          <w:color w:val="635D5E"/>
          <w:spacing w:val="-9"/>
        </w:rPr>
        <w:t xml:space="preserve"> </w:t>
      </w:r>
      <w:r>
        <w:rPr>
          <w:color w:val="635D5E"/>
        </w:rPr>
        <w:t>Funding</w:t>
      </w:r>
      <w:r>
        <w:rPr>
          <w:color w:val="635D5E"/>
          <w:spacing w:val="-7"/>
        </w:rPr>
        <w:t xml:space="preserve"> </w:t>
      </w:r>
      <w:r>
        <w:rPr>
          <w:color w:val="635D5E"/>
          <w:spacing w:val="-2"/>
        </w:rPr>
        <w:t>Policies</w:t>
      </w:r>
    </w:p>
    <w:p w14:paraId="666D3B73" w14:textId="77777777" w:rsidR="00E12EFF" w:rsidRDefault="00E12EFF">
      <w:pPr>
        <w:pStyle w:val="Heading2"/>
        <w:kinsoku w:val="0"/>
        <w:overflowPunct w:val="0"/>
        <w:spacing w:line="264" w:lineRule="auto"/>
        <w:rPr>
          <w:color w:val="6A522D"/>
        </w:rPr>
      </w:pPr>
      <w:r>
        <w:rPr>
          <w:color w:val="6A522D"/>
        </w:rPr>
        <w:t>What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is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the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admission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policy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for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Chinese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students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for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PhD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program?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Are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we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allowed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to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hire them using internal funding (startup funding, for instance)?</w:t>
      </w:r>
    </w:p>
    <w:p w14:paraId="078E9E8C" w14:textId="77777777" w:rsidR="00E12EFF" w:rsidRDefault="00E12EFF">
      <w:pPr>
        <w:pStyle w:val="ListParagraph"/>
        <w:numPr>
          <w:ilvl w:val="0"/>
          <w:numId w:val="1"/>
        </w:numPr>
        <w:tabs>
          <w:tab w:val="left" w:pos="603"/>
        </w:tabs>
        <w:kinsoku w:val="0"/>
        <w:overflowPunct w:val="0"/>
        <w:ind w:left="603" w:hanging="258"/>
        <w:rPr>
          <w:spacing w:val="-2"/>
          <w:sz w:val="22"/>
          <w:szCs w:val="22"/>
        </w:rPr>
      </w:pPr>
      <w:r>
        <w:rPr>
          <w:sz w:val="22"/>
          <w:szCs w:val="22"/>
        </w:rPr>
        <w:t>Yes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(assuming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standard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process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applicants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followed).</w:t>
      </w:r>
    </w:p>
    <w:p w14:paraId="05650654" w14:textId="77777777" w:rsidR="00E12EFF" w:rsidRDefault="00E12EFF">
      <w:pPr>
        <w:pStyle w:val="BodyText"/>
        <w:kinsoku w:val="0"/>
        <w:overflowPunct w:val="0"/>
        <w:spacing w:before="246"/>
      </w:pPr>
    </w:p>
    <w:p w14:paraId="0FB0711A" w14:textId="77777777" w:rsidR="00E12EFF" w:rsidRDefault="00E12EFF">
      <w:pPr>
        <w:pStyle w:val="Heading1"/>
        <w:kinsoku w:val="0"/>
        <w:overflowPunct w:val="0"/>
        <w:rPr>
          <w:color w:val="635D5E"/>
          <w:u w:val="none"/>
        </w:rPr>
      </w:pPr>
      <w:bookmarkStart w:id="5" w:name="Honors_College_Faculty_Realignment_and_E"/>
      <w:bookmarkEnd w:id="5"/>
      <w:r>
        <w:rPr>
          <w:color w:val="635D5E"/>
        </w:rPr>
        <w:t>Honors</w:t>
      </w:r>
      <w:r>
        <w:rPr>
          <w:color w:val="635D5E"/>
          <w:spacing w:val="-13"/>
        </w:rPr>
        <w:t xml:space="preserve"> </w:t>
      </w:r>
      <w:r>
        <w:rPr>
          <w:color w:val="635D5E"/>
        </w:rPr>
        <w:t>College</w:t>
      </w:r>
      <w:r>
        <w:rPr>
          <w:color w:val="635D5E"/>
          <w:spacing w:val="-12"/>
        </w:rPr>
        <w:t xml:space="preserve"> </w:t>
      </w:r>
      <w:r>
        <w:rPr>
          <w:color w:val="635D5E"/>
        </w:rPr>
        <w:t>Faculty</w:t>
      </w:r>
      <w:r>
        <w:rPr>
          <w:color w:val="635D5E"/>
          <w:spacing w:val="-10"/>
        </w:rPr>
        <w:t xml:space="preserve"> </w:t>
      </w:r>
      <w:r>
        <w:rPr>
          <w:color w:val="635D5E"/>
        </w:rPr>
        <w:t>Realignment</w:t>
      </w:r>
      <w:r>
        <w:rPr>
          <w:color w:val="635D5E"/>
          <w:spacing w:val="-12"/>
        </w:rPr>
        <w:t xml:space="preserve"> </w:t>
      </w:r>
      <w:r>
        <w:rPr>
          <w:color w:val="635D5E"/>
        </w:rPr>
        <w:t>and</w:t>
      </w:r>
      <w:r>
        <w:rPr>
          <w:color w:val="635D5E"/>
          <w:spacing w:val="-12"/>
        </w:rPr>
        <w:t xml:space="preserve"> </w:t>
      </w:r>
      <w:r>
        <w:rPr>
          <w:color w:val="635D5E"/>
        </w:rPr>
        <w:t>Employment</w:t>
      </w:r>
      <w:r>
        <w:rPr>
          <w:color w:val="635D5E"/>
          <w:spacing w:val="-11"/>
        </w:rPr>
        <w:t xml:space="preserve"> </w:t>
      </w:r>
      <w:r>
        <w:rPr>
          <w:color w:val="635D5E"/>
          <w:spacing w:val="-2"/>
        </w:rPr>
        <w:t>Decisions</w:t>
      </w:r>
    </w:p>
    <w:p w14:paraId="7EEFA8D7" w14:textId="77777777" w:rsidR="00E12EFF" w:rsidRDefault="00E12EFF">
      <w:pPr>
        <w:pStyle w:val="Heading2"/>
        <w:kinsoku w:val="0"/>
        <w:overflowPunct w:val="0"/>
        <w:spacing w:before="114" w:line="261" w:lineRule="auto"/>
        <w:ind w:right="258"/>
        <w:rPr>
          <w:color w:val="6A522D"/>
        </w:rPr>
      </w:pPr>
      <w:r>
        <w:rPr>
          <w:color w:val="6A522D"/>
        </w:rPr>
        <w:t>Related to the re-organization of the Honors College: messaging from Provost Wolfe over the past year indicated that there would be pathways for Honors faculty to be re-aligned with disciplinary departments. Why, of the nine Honors faculty who submitted applications, completed interviews, and were extended oﬀers at the department level, were only two approved</w:t>
      </w:r>
      <w:r>
        <w:rPr>
          <w:color w:val="6A522D"/>
          <w:spacing w:val="-3"/>
        </w:rPr>
        <w:t xml:space="preserve"> </w:t>
      </w:r>
      <w:r>
        <w:rPr>
          <w:color w:val="6A522D"/>
        </w:rPr>
        <w:t>for</w:t>
      </w:r>
      <w:r>
        <w:rPr>
          <w:color w:val="6A522D"/>
          <w:spacing w:val="-7"/>
        </w:rPr>
        <w:t xml:space="preserve"> </w:t>
      </w:r>
      <w:r>
        <w:rPr>
          <w:color w:val="6A522D"/>
        </w:rPr>
        <w:t>continued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employment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at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Purdue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by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the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Provost?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While</w:t>
      </w:r>
      <w:r>
        <w:rPr>
          <w:color w:val="6A522D"/>
          <w:spacing w:val="-4"/>
        </w:rPr>
        <w:t xml:space="preserve"> </w:t>
      </w:r>
      <w:r>
        <w:rPr>
          <w:color w:val="6A522D"/>
        </w:rPr>
        <w:t>it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may</w:t>
      </w:r>
      <w:r>
        <w:rPr>
          <w:color w:val="6A522D"/>
          <w:spacing w:val="-5"/>
        </w:rPr>
        <w:t xml:space="preserve"> </w:t>
      </w:r>
      <w:r>
        <w:rPr>
          <w:color w:val="6A522D"/>
        </w:rPr>
        <w:t>not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be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possible</w:t>
      </w:r>
      <w:r>
        <w:rPr>
          <w:color w:val="6A522D"/>
          <w:spacing w:val="-6"/>
        </w:rPr>
        <w:t xml:space="preserve"> </w:t>
      </w:r>
      <w:r>
        <w:rPr>
          <w:color w:val="6A522D"/>
        </w:rPr>
        <w:t>to comment on individuals' cases, what general criteria were used to make this decision?</w:t>
      </w:r>
    </w:p>
    <w:p w14:paraId="4B2D3B5D" w14:textId="77777777" w:rsidR="00E12EFF" w:rsidRDefault="00E12EFF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spacing w:before="107" w:line="259" w:lineRule="auto"/>
        <w:ind w:left="719" w:right="1155" w:hanging="360"/>
        <w:rPr>
          <w:sz w:val="22"/>
          <w:szCs w:val="22"/>
        </w:rPr>
      </w:pPr>
      <w:r>
        <w:rPr>
          <w:sz w:val="22"/>
          <w:szCs w:val="22"/>
        </w:rPr>
        <w:t>As previously communicated, the Honors College updates included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 possibility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 faculty realignment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disciplinary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departments,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continued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employment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placement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any individual non-tenured employee is not automatically guaranteed.</w:t>
      </w:r>
    </w:p>
    <w:p w14:paraId="214B30FC" w14:textId="77777777" w:rsidR="00E12EFF" w:rsidRDefault="00E12EFF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spacing w:before="0" w:line="256" w:lineRule="auto"/>
        <w:ind w:left="719" w:right="534" w:hanging="360"/>
        <w:rPr>
          <w:sz w:val="22"/>
          <w:szCs w:val="22"/>
        </w:rPr>
      </w:pPr>
      <w:r>
        <w:rPr>
          <w:sz w:val="22"/>
          <w:szCs w:val="22"/>
        </w:rPr>
        <w:t>Consistent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university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policy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standard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academic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practice,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employment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decisions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ultimately are subject to ﬁnal institutional approval.</w:t>
      </w:r>
    </w:p>
    <w:p w14:paraId="5CA2F0FD" w14:textId="77777777" w:rsidR="00E12EFF" w:rsidRDefault="00E12EFF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spacing w:before="2" w:line="259" w:lineRule="auto"/>
        <w:ind w:left="719" w:right="580" w:hanging="360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The university </w:t>
      </w:r>
      <w:proofErr w:type="gramStart"/>
      <w:r>
        <w:rPr>
          <w:sz w:val="22"/>
          <w:szCs w:val="22"/>
        </w:rPr>
        <w:t>is not able to</w:t>
      </w:r>
      <w:proofErr w:type="gramEnd"/>
      <w:r>
        <w:rPr>
          <w:sz w:val="22"/>
          <w:szCs w:val="22"/>
        </w:rPr>
        <w:t xml:space="preserve"> comment on individual personnel cases. More broadly, employment decisions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contingent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multiple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factors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approvals,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proposed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transitions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-2"/>
          <w:sz w:val="22"/>
          <w:szCs w:val="22"/>
        </w:rPr>
        <w:t>accommodated.</w:t>
      </w:r>
    </w:p>
    <w:p w14:paraId="7203F1A6" w14:textId="77777777" w:rsidR="00E12EFF" w:rsidRDefault="00E12EFF">
      <w:pPr>
        <w:pStyle w:val="BodyText"/>
        <w:kinsoku w:val="0"/>
        <w:overflowPunct w:val="0"/>
        <w:spacing w:before="35"/>
      </w:pPr>
    </w:p>
    <w:p w14:paraId="1C5A620C" w14:textId="77777777" w:rsidR="00E12EFF" w:rsidRDefault="00E12EFF">
      <w:pPr>
        <w:pStyle w:val="BodyText"/>
        <w:kinsoku w:val="0"/>
        <w:overflowPunct w:val="0"/>
        <w:ind w:right="341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2</w:t>
      </w:r>
    </w:p>
    <w:p w14:paraId="527019D6" w14:textId="77777777" w:rsidR="00E12EFF" w:rsidRDefault="00E12EFF">
      <w:pPr>
        <w:pStyle w:val="BodyText"/>
        <w:kinsoku w:val="0"/>
        <w:overflowPunct w:val="0"/>
        <w:ind w:right="341"/>
        <w:jc w:val="right"/>
        <w:rPr>
          <w:spacing w:val="-10"/>
          <w:sz w:val="24"/>
          <w:szCs w:val="24"/>
        </w:rPr>
        <w:sectPr w:rsidR="00E12EFF">
          <w:pgSz w:w="12240" w:h="15840"/>
          <w:pgMar w:top="1460" w:right="1080" w:bottom="280" w:left="1080" w:header="720" w:footer="720" w:gutter="0"/>
          <w:cols w:space="720"/>
          <w:noEndnote/>
        </w:sectPr>
      </w:pPr>
    </w:p>
    <w:p w14:paraId="319BF86A" w14:textId="77777777" w:rsidR="00E12EFF" w:rsidRDefault="00E12EFF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sectPr w:rsidR="00E12EFF">
      <w:pgSz w:w="12240" w:h="15840"/>
      <w:pgMar w:top="1820" w:right="108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"/>
      <w:lvlJc w:val="left"/>
      <w:pPr>
        <w:ind w:left="715" w:hanging="2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260"/>
      </w:pPr>
    </w:lvl>
    <w:lvl w:ilvl="2">
      <w:numFmt w:val="bullet"/>
      <w:lvlText w:val="•"/>
      <w:lvlJc w:val="left"/>
      <w:pPr>
        <w:ind w:left="2592" w:hanging="260"/>
      </w:pPr>
    </w:lvl>
    <w:lvl w:ilvl="3">
      <w:numFmt w:val="bullet"/>
      <w:lvlText w:val="•"/>
      <w:lvlJc w:val="left"/>
      <w:pPr>
        <w:ind w:left="3528" w:hanging="260"/>
      </w:pPr>
    </w:lvl>
    <w:lvl w:ilvl="4">
      <w:numFmt w:val="bullet"/>
      <w:lvlText w:val="•"/>
      <w:lvlJc w:val="left"/>
      <w:pPr>
        <w:ind w:left="4464" w:hanging="260"/>
      </w:pPr>
    </w:lvl>
    <w:lvl w:ilvl="5">
      <w:numFmt w:val="bullet"/>
      <w:lvlText w:val="•"/>
      <w:lvlJc w:val="left"/>
      <w:pPr>
        <w:ind w:left="5400" w:hanging="260"/>
      </w:pPr>
    </w:lvl>
    <w:lvl w:ilvl="6">
      <w:numFmt w:val="bullet"/>
      <w:lvlText w:val="•"/>
      <w:lvlJc w:val="left"/>
      <w:pPr>
        <w:ind w:left="6336" w:hanging="260"/>
      </w:pPr>
    </w:lvl>
    <w:lvl w:ilvl="7">
      <w:numFmt w:val="bullet"/>
      <w:lvlText w:val="•"/>
      <w:lvlJc w:val="left"/>
      <w:pPr>
        <w:ind w:left="7272" w:hanging="260"/>
      </w:pPr>
    </w:lvl>
    <w:lvl w:ilvl="8">
      <w:numFmt w:val="bullet"/>
      <w:lvlText w:val="•"/>
      <w:lvlJc w:val="left"/>
      <w:pPr>
        <w:ind w:left="8208" w:hanging="260"/>
      </w:pPr>
    </w:lvl>
  </w:abstractNum>
  <w:num w:numId="1" w16cid:durableId="209585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E0"/>
    <w:rsid w:val="00115FA4"/>
    <w:rsid w:val="0023189A"/>
    <w:rsid w:val="003072E4"/>
    <w:rsid w:val="00366335"/>
    <w:rsid w:val="00A93FE0"/>
    <w:rsid w:val="00E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81147"/>
  <w14:defaultImageDpi w14:val="0"/>
  <w15:docId w15:val="{B4265AAE-CE1F-4B57-979C-71398404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45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11"/>
      <w:ind w:left="355" w:right="428" w:hanging="1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2"/>
      <w:ind w:left="71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urdue.edu/academics/ogsps/current-graduate-student-resourc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urdue.edu/academics/ogsps/current-graduate-student-resources/" TargetMode="External"/><Relationship Id="rId17" Type="http://schemas.openxmlformats.org/officeDocument/2006/relationships/hyperlink" Target="https://www.purdue.edu/academics/ogsps/current-graduate-student-resour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urdue.edu/academics/ogsps/current-graduate-student-resourc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rdue.edu/academics/ogsps/current-graduate-student-resourc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urdue.edu/academics/ogsps/current-graduate-student-resources/" TargetMode="External"/><Relationship Id="rId10" Type="http://schemas.openxmlformats.org/officeDocument/2006/relationships/hyperlink" Target="https://www.purdue.edu/vpec/policies/academic-research-a%EF%AC%80airs/s4/)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purdue.edu/academics/ogsps/current-graduate-student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81A683-88C0-4934-B2A5-D75FA5AC4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4F14C-B7E5-4B69-B787-4D83D14D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0A073-0A51-42A8-94B9-10AA6724A415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4441</Characters>
  <Application>Microsoft Office Word</Application>
  <DocSecurity>0</DocSecurity>
  <Lines>82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A.J. Frigo</dc:creator>
  <cp:keywords/>
  <dc:description/>
  <cp:lastModifiedBy>Iscel Manalo</cp:lastModifiedBy>
  <cp:revision>3</cp:revision>
  <dcterms:created xsi:type="dcterms:W3CDTF">2026-04-08T14:25:00Z</dcterms:created>
  <dcterms:modified xsi:type="dcterms:W3CDTF">2026-04-17T01:46:00Z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25 for Word</vt:lpwstr>
  </property>
  <property fmtid="{D5CDD505-2E9C-101B-9397-08002B2CF9AE}" pid="3" name="Producer">
    <vt:lpwstr>Adobe PDF Library 25.1.192</vt:lpwstr>
  </property>
  <property fmtid="{D5CDD505-2E9C-101B-9397-08002B2CF9AE}" pid="4" name="SourceModified">
    <vt:lpwstr>D:20260213172320</vt:lpwstr>
  </property>
  <property fmtid="{D5CDD505-2E9C-101B-9397-08002B2CF9AE}" pid="5" name="ContentTypeId">
    <vt:lpwstr>0x010100D058EE361C257148BA38B1661276A50E</vt:lpwstr>
  </property>
</Properties>
</file>