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6" w:rsidRPr="00BA4F16" w:rsidRDefault="00BA4F16" w:rsidP="0057208A">
      <w:pPr>
        <w:autoSpaceDE w:val="0"/>
        <w:autoSpaceDN w:val="0"/>
        <w:adjustRightInd w:val="0"/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</w:pPr>
      <w:r w:rsidRPr="00BA4F16"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  <w:t xml:space="preserve">VISIBLE SPECTROSCOPY </w:t>
      </w:r>
    </w:p>
    <w:p w:rsidR="00BA4F16" w:rsidRPr="00BA4F16" w:rsidRDefault="00BA4F16" w:rsidP="0057208A">
      <w:pPr>
        <w:autoSpaceDE w:val="0"/>
        <w:autoSpaceDN w:val="0"/>
        <w:adjustRightInd w:val="0"/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</w:pPr>
      <w:r w:rsidRPr="00BA4F16"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  <w:t>PURDUE U</w:t>
      </w:r>
      <w:r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  <w:t>NIVERSITY SCIENCE EXPRESS</w:t>
      </w:r>
      <w:r w:rsidRPr="00BA4F16">
        <w:rPr>
          <w:rFonts w:ascii="LMKAHG+TimesNewRoman,Bold" w:hAnsi="LMKAHG+TimesNewRoman,Bold" w:cs="LMKAHG+TimesNewRoman,Bold"/>
          <w:bCs/>
          <w:color w:val="000000"/>
          <w:sz w:val="18"/>
          <w:szCs w:val="18"/>
        </w:rPr>
        <w:t xml:space="preserve"> </w:t>
      </w:r>
    </w:p>
    <w:p w:rsidR="00BA4F16" w:rsidRPr="00571D9F" w:rsidRDefault="00BA4F16" w:rsidP="0057208A">
      <w:pPr>
        <w:autoSpaceDE w:val="0"/>
        <w:autoSpaceDN w:val="0"/>
        <w:adjustRightInd w:val="0"/>
        <w:jc w:val="center"/>
        <w:rPr>
          <w:rFonts w:ascii="LMKAHG+TimesNewRoman,Bold" w:hAnsi="LMKAHG+TimesNewRoman,Bold" w:cs="LMKAHG+TimesNewRoman,Bold"/>
          <w:color w:val="000000"/>
        </w:rPr>
      </w:pPr>
      <w:r>
        <w:rPr>
          <w:rFonts w:ascii="LMKAHG+TimesNewRoman,Bold" w:hAnsi="LMKAHG+TimesNewRoman,Bold" w:cs="LMKAHG+TimesNewRoman,Bold"/>
          <w:b/>
          <w:bCs/>
          <w:color w:val="000000"/>
        </w:rPr>
        <w:t>DEMYSTIFICATION OF THE SPEC 20</w:t>
      </w:r>
    </w:p>
    <w:p w:rsidR="00BA4F16" w:rsidRPr="00571D9F" w:rsidRDefault="00BA4F16" w:rsidP="0057208A">
      <w:p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</w:p>
    <w:p w:rsidR="00BA4F16" w:rsidRPr="00571D9F" w:rsidRDefault="00BA4F16" w:rsidP="0057208A">
      <w:pPr>
        <w:autoSpaceDE w:val="0"/>
        <w:autoSpaceDN w:val="0"/>
        <w:adjustRightInd w:val="0"/>
        <w:jc w:val="both"/>
        <w:rPr>
          <w:rFonts w:ascii="LMKAHG+TimesNewRoman,Bold" w:hAnsi="LMKAHG+TimesNewRoman,Bold" w:cs="LMKAHG+TimesNewRoman,Bold"/>
          <w:color w:val="000000"/>
        </w:rPr>
      </w:pPr>
      <w:r>
        <w:rPr>
          <w:rFonts w:ascii="LMKAHG+TimesNewRoman,Bold" w:hAnsi="LMKAHG+TimesNewRoman,Bold" w:cs="LMKAHG+TimesNewRoman,Bold"/>
          <w:b/>
          <w:bCs/>
          <w:color w:val="000000"/>
        </w:rPr>
        <w:t>I. How Does the Spec 20</w:t>
      </w:r>
      <w:r w:rsidRPr="00571D9F">
        <w:rPr>
          <w:rFonts w:ascii="LMKAHG+TimesNewRoman,Bold" w:hAnsi="LMKAHG+TimesNewRoman,Bold" w:cs="LMKAHG+TimesNewRoman,Bold"/>
          <w:b/>
          <w:bCs/>
          <w:color w:val="000000"/>
        </w:rPr>
        <w:t xml:space="preserve"> work? </w:t>
      </w:r>
    </w:p>
    <w:p w:rsidR="00BA4F16" w:rsidRPr="00571D9F" w:rsidRDefault="0057208A" w:rsidP="0057208A">
      <w:p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>
        <w:rPr>
          <w:rFonts w:ascii="LMKAFF+TimesNewRoman" w:hAnsi="LMKAFF+TimesNewRoman" w:cs="LMKAFF+TimesNewRoman"/>
          <w:color w:val="000000"/>
        </w:rPr>
        <w:t xml:space="preserve">Chemicals absorb and reflect different colors of light by different amounts. A spec 20 measures how much light of a certain wavelength, or color, a substance absorbs. </w:t>
      </w:r>
      <w:r>
        <w:rPr>
          <w:rFonts w:ascii="LMKAFF+TimesNewRoman" w:hAnsi="LMKAFF+TimesNewRoman" w:cs="LMKAFF+TimesNewRoman"/>
          <w:color w:val="000000"/>
        </w:rPr>
        <w:t xml:space="preserve">The basic colors of light, from longest wavelength to shortest, are: red, orange, yellow, green, blue, indigo, and violet. An easy way to remember these colors and their order is with the name Roy G. </w:t>
      </w:r>
      <w:proofErr w:type="spellStart"/>
      <w:r>
        <w:rPr>
          <w:rFonts w:ascii="LMKAFF+TimesNewRoman" w:hAnsi="LMKAFF+TimesNewRoman" w:cs="LMKAFF+TimesNewRoman"/>
          <w:color w:val="000000"/>
        </w:rPr>
        <w:t>Biv</w:t>
      </w:r>
      <w:proofErr w:type="spellEnd"/>
      <w:r>
        <w:rPr>
          <w:rFonts w:ascii="LMKAFF+TimesNewRoman" w:hAnsi="LMKAFF+TimesNewRoman" w:cs="LMKAFF+TimesNewRoman"/>
          <w:color w:val="000000"/>
        </w:rPr>
        <w:t xml:space="preserve">. </w:t>
      </w:r>
      <w:r w:rsidRPr="00571D9F">
        <w:rPr>
          <w:rFonts w:ascii="LMKAFF+TimesNewRoman" w:hAnsi="LMKAFF+TimesNewRoman" w:cs="LMKAFF+TimesNewRoman"/>
          <w:color w:val="000000"/>
        </w:rPr>
        <w:t xml:space="preserve"> </w:t>
      </w:r>
      <w:r w:rsidR="00BA4F16" w:rsidRPr="00571D9F">
        <w:rPr>
          <w:rFonts w:ascii="LMKAFF+TimesNewRoman" w:hAnsi="LMKAFF+TimesNewRoman" w:cs="LMKAFF+TimesNewRoman"/>
          <w:color w:val="000000"/>
        </w:rPr>
        <w:t xml:space="preserve">To see how this works, try the following exercise. </w:t>
      </w:r>
    </w:p>
    <w:p w:rsidR="00BA4F16" w:rsidRPr="002751D1" w:rsidRDefault="00BA4F16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 xml:space="preserve">Turn on the Spec 20. </w:t>
      </w:r>
    </w:p>
    <w:p w:rsidR="002751D1" w:rsidRPr="002751D1" w:rsidRDefault="002751D1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>Allow the machine to run through its diagnostics.</w:t>
      </w:r>
    </w:p>
    <w:p w:rsidR="00BA4F16" w:rsidRPr="002751D1" w:rsidRDefault="00BA4F16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 xml:space="preserve">Place a piece of white paper in the plastic cuvette. </w:t>
      </w:r>
    </w:p>
    <w:p w:rsidR="00BA4F16" w:rsidRPr="002751D1" w:rsidRDefault="00BA4F16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 xml:space="preserve">Set the wavelength to 700 nm. </w:t>
      </w:r>
    </w:p>
    <w:p w:rsidR="00BA4F16" w:rsidRPr="002751D1" w:rsidRDefault="00BA4F16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 xml:space="preserve">Place the cuvette containing the paper in the sample compartment. </w:t>
      </w:r>
    </w:p>
    <w:p w:rsidR="00BA4F16" w:rsidRPr="002751D1" w:rsidRDefault="00BA4F16" w:rsidP="002751D1">
      <w:pPr>
        <w:autoSpaceDE w:val="0"/>
        <w:autoSpaceDN w:val="0"/>
        <w:adjustRightInd w:val="0"/>
        <w:ind w:firstLine="72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HG+TimesNewRoman,Bold" w:hAnsi="LMKAHG+TimesNewRoman,Bold" w:cs="LMKAHG+TimesNewRoman,Bold"/>
          <w:b/>
          <w:bCs/>
          <w:color w:val="000000"/>
        </w:rPr>
        <w:t>DO NOT CLOSE THE SAMPLE COMPARTMENT</w:t>
      </w:r>
      <w:r w:rsidRPr="002751D1">
        <w:rPr>
          <w:rFonts w:ascii="LMKAFF+TimesNewRoman" w:hAnsi="LMKAFF+TimesNewRoman" w:cs="LMKAFF+TimesNewRoman"/>
          <w:color w:val="000000"/>
        </w:rPr>
        <w:t xml:space="preserve">. </w:t>
      </w:r>
    </w:p>
    <w:p w:rsidR="00BA4F16" w:rsidRPr="002751D1" w:rsidRDefault="00BA4F16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 xml:space="preserve">Look into </w:t>
      </w:r>
      <w:r w:rsidR="0057208A" w:rsidRPr="002751D1">
        <w:rPr>
          <w:rFonts w:ascii="LMKAFF+TimesNewRoman" w:hAnsi="LMKAFF+TimesNewRoman" w:cs="LMKAFF+TimesNewRoman"/>
          <w:color w:val="000000"/>
        </w:rPr>
        <w:t>the sample compartment, change the wavelength down and record the range of wavelengths for each color</w:t>
      </w:r>
      <w:r w:rsidR="002751D1">
        <w:rPr>
          <w:rFonts w:ascii="LMKAFF+TimesNewRoman" w:hAnsi="LMKAFF+TimesNewRoman" w:cs="LMKAFF+TimesNewRoman"/>
          <w:color w:val="000000"/>
        </w:rPr>
        <w:t>.</w:t>
      </w:r>
    </w:p>
    <w:p w:rsidR="00BA4F16" w:rsidRDefault="0057208A" w:rsidP="002751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MKAFF+TimesNewRoman" w:hAnsi="LMKAFF+TimesNewRoman" w:cs="LMKAFF+TimesNewRoman"/>
          <w:color w:val="000000"/>
        </w:rPr>
      </w:pPr>
      <w:r w:rsidRPr="002751D1">
        <w:rPr>
          <w:rFonts w:ascii="LMKAFF+TimesNewRoman" w:hAnsi="LMKAFF+TimesNewRoman" w:cs="LMKAFF+TimesNewRoman"/>
          <w:color w:val="000000"/>
        </w:rPr>
        <w:t>Use the chart below to report your findings</w:t>
      </w:r>
    </w:p>
    <w:p w:rsidR="002751D1" w:rsidRPr="002751D1" w:rsidRDefault="002751D1" w:rsidP="002751D1">
      <w:pPr>
        <w:pStyle w:val="ListParagraph"/>
        <w:autoSpaceDE w:val="0"/>
        <w:autoSpaceDN w:val="0"/>
        <w:adjustRightInd w:val="0"/>
        <w:ind w:left="1080"/>
        <w:rPr>
          <w:rFonts w:ascii="LMKAFF+TimesNewRoman" w:hAnsi="LMKAFF+TimesNewRoman" w:cs="LMKAFF+TimesNewRoman"/>
          <w:color w:val="000000"/>
        </w:rPr>
      </w:pPr>
    </w:p>
    <w:p w:rsidR="00BA4F16" w:rsidRPr="00571D9F" w:rsidRDefault="00BA4F16" w:rsidP="0057208A">
      <w:pPr>
        <w:autoSpaceDE w:val="0"/>
        <w:autoSpaceDN w:val="0"/>
        <w:adjustRightInd w:val="0"/>
        <w:rPr>
          <w:rFonts w:ascii="LMKAHG+TimesNewRoman,Bold" w:hAnsi="LMKAHG+TimesNewRoman,Bold" w:cs="LMKAHG+TimesNewRoman,Bold"/>
        </w:rPr>
      </w:pPr>
      <w:r w:rsidRPr="00571D9F">
        <w:rPr>
          <w:rFonts w:ascii="LMKAHG+TimesNewRoman,Bold" w:hAnsi="LMKAHG+TimesNewRoman,Bold" w:cs="LMKAHG+TimesNewRoman,Bold"/>
          <w:b/>
          <w:bCs/>
        </w:rPr>
        <w:t xml:space="preserve">Chart A </w:t>
      </w:r>
    </w:p>
    <w:tbl>
      <w:tblPr>
        <w:tblW w:w="9489" w:type="dxa"/>
        <w:tblInd w:w="1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751D1" w:rsidRPr="00571D9F" w:rsidTr="00E058D2">
        <w:trPr>
          <w:trHeight w:val="1908"/>
        </w:trPr>
        <w:tc>
          <w:tcPr>
            <w:tcW w:w="6926" w:type="dxa"/>
          </w:tcPr>
          <w:p w:rsidR="00BA4F16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678"/>
              <w:gridCol w:w="678"/>
              <w:gridCol w:w="678"/>
              <w:gridCol w:w="679"/>
              <w:gridCol w:w="678"/>
              <w:gridCol w:w="678"/>
              <w:gridCol w:w="679"/>
            </w:tblGrid>
            <w:tr w:rsidR="002751D1" w:rsidTr="00E058D2">
              <w:trPr>
                <w:trHeight w:val="692"/>
              </w:trPr>
              <w:tc>
                <w:tcPr>
                  <w:tcW w:w="1600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</w:pPr>
                </w:p>
                <w:p w:rsidR="002751D1" w:rsidRP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</w:pPr>
                  <w:r w:rsidRPr="002751D1"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  <w:t>Color</w:t>
                  </w:r>
                  <w:r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  <w:t xml:space="preserve"> of Light</w:t>
                  </w: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51D1" w:rsidTr="00E058D2">
              <w:trPr>
                <w:trHeight w:val="710"/>
              </w:trPr>
              <w:tc>
                <w:tcPr>
                  <w:tcW w:w="1600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</w:pPr>
                  <w:r w:rsidRPr="002751D1"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  <w:t>Wavelength Range</w:t>
                  </w:r>
                  <w:r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  <w:t xml:space="preserve"> (nm)</w:t>
                  </w:r>
                </w:p>
                <w:p w:rsidR="002751D1" w:rsidRP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" w:type="dxa"/>
                </w:tcPr>
                <w:p w:rsidR="002751D1" w:rsidRDefault="002751D1" w:rsidP="0057208A">
                  <w:pPr>
                    <w:autoSpaceDE w:val="0"/>
                    <w:autoSpaceDN w:val="0"/>
                    <w:adjustRightInd w:val="0"/>
                    <w:spacing w:after="58"/>
                    <w:rPr>
                      <w:rFonts w:ascii="LMKAFF+TimesNewRoman" w:hAnsi="LMKAFF+TimesNewRoman" w:cs="LMKAFF+TimesNew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751D1" w:rsidRPr="00571D9F" w:rsidRDefault="002751D1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</w:tr>
      <w:tr w:rsidR="00BA4F16" w:rsidRPr="00571D9F" w:rsidTr="002751D1">
        <w:trPr>
          <w:trHeight w:val="184"/>
        </w:trPr>
        <w:tc>
          <w:tcPr>
            <w:tcW w:w="9489" w:type="dxa"/>
            <w:gridSpan w:val="12"/>
          </w:tcPr>
          <w:p w:rsidR="00BA4F16" w:rsidRPr="00571D9F" w:rsidRDefault="00BA4F16" w:rsidP="0057208A">
            <w:pPr>
              <w:autoSpaceDE w:val="0"/>
              <w:autoSpaceDN w:val="0"/>
              <w:adjustRightInd w:val="0"/>
              <w:spacing w:after="58"/>
              <w:rPr>
                <w:rFonts w:ascii="LMKAFF+TimesNewRoman" w:hAnsi="LMKAFF+TimesNewRoman" w:cs="LMKAFF+TimesNewRoman"/>
                <w:color w:val="000000"/>
                <w:sz w:val="22"/>
                <w:szCs w:val="22"/>
              </w:rPr>
            </w:pPr>
          </w:p>
        </w:tc>
      </w:tr>
    </w:tbl>
    <w:p w:rsidR="00E058D2" w:rsidRDefault="00E058D2" w:rsidP="00E058D2">
      <w:pPr>
        <w:ind w:left="720"/>
      </w:pPr>
      <w:r>
        <w:t xml:space="preserve">8. Compare your results with the class. Do different groups have different ranges for the    </w:t>
      </w:r>
    </w:p>
    <w:p w:rsidR="003D07C1" w:rsidRDefault="00E058D2" w:rsidP="00E058D2">
      <w:pPr>
        <w:ind w:left="720"/>
      </w:pPr>
      <w:r>
        <w:t xml:space="preserve">    </w:t>
      </w:r>
      <w:proofErr w:type="gramStart"/>
      <w:r>
        <w:t>colors</w:t>
      </w:r>
      <w:proofErr w:type="gramEnd"/>
      <w:r>
        <w:t>?</w:t>
      </w:r>
    </w:p>
    <w:p w:rsidR="00E058D2" w:rsidRDefault="00E058D2" w:rsidP="00E058D2">
      <w:pPr>
        <w:ind w:left="720"/>
      </w:pPr>
    </w:p>
    <w:p w:rsidR="00E058D2" w:rsidRDefault="00E058D2" w:rsidP="00E058D2">
      <w:pPr>
        <w:ind w:left="720"/>
      </w:pPr>
    </w:p>
    <w:p w:rsidR="00E058D2" w:rsidRDefault="00E058D2" w:rsidP="00E058D2">
      <w:pPr>
        <w:ind w:left="720"/>
      </w:pPr>
      <w:r>
        <w:t>9. If there are difference</w:t>
      </w:r>
      <w:r w:rsidR="00FE5E81">
        <w:t>s</w:t>
      </w:r>
      <w:r>
        <w:t xml:space="preserve"> between groups, list at least two reasons for </w:t>
      </w:r>
      <w:proofErr w:type="gramStart"/>
      <w:r>
        <w:t>these difference</w:t>
      </w:r>
      <w:proofErr w:type="gramEnd"/>
      <w:r w:rsidR="00FE5E81">
        <w:t>.</w:t>
      </w: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</w:p>
    <w:p w:rsidR="00FE5E81" w:rsidRDefault="00FE5E81" w:rsidP="00E058D2">
      <w:pPr>
        <w:ind w:left="720"/>
      </w:pPr>
      <w:r>
        <w:t xml:space="preserve">10. After doing this experiment, why might it be important to make sure you </w:t>
      </w:r>
      <w:proofErr w:type="gramStart"/>
      <w:r>
        <w:t>perform</w:t>
      </w:r>
      <w:proofErr w:type="gramEnd"/>
      <w:r>
        <w:t xml:space="preserve"> </w:t>
      </w:r>
    </w:p>
    <w:p w:rsidR="00FE5E81" w:rsidRDefault="00FE5E81" w:rsidP="00FE5E81">
      <w:pPr>
        <w:ind w:left="720"/>
      </w:pPr>
      <w:r>
        <w:t xml:space="preserve">      </w:t>
      </w:r>
      <w:bookmarkStart w:id="0" w:name="_GoBack"/>
      <w:bookmarkEnd w:id="0"/>
      <w:r>
        <w:t>your entire lab with the same machine?</w:t>
      </w:r>
    </w:p>
    <w:sectPr w:rsidR="00FE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KA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KAF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B44"/>
    <w:multiLevelType w:val="hybridMultilevel"/>
    <w:tmpl w:val="53CAF32E"/>
    <w:lvl w:ilvl="0" w:tplc="E0B8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81B45"/>
    <w:multiLevelType w:val="hybridMultilevel"/>
    <w:tmpl w:val="B0509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B6470"/>
    <w:multiLevelType w:val="hybridMultilevel"/>
    <w:tmpl w:val="E97606AA"/>
    <w:lvl w:ilvl="0" w:tplc="E0B8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6"/>
    <w:rsid w:val="002751D1"/>
    <w:rsid w:val="003D07C1"/>
    <w:rsid w:val="0057208A"/>
    <w:rsid w:val="00BA4F16"/>
    <w:rsid w:val="00DC6621"/>
    <w:rsid w:val="00E058D2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D1"/>
    <w:pPr>
      <w:ind w:left="720"/>
      <w:contextualSpacing/>
    </w:pPr>
  </w:style>
  <w:style w:type="table" w:styleId="TableGrid">
    <w:name w:val="Table Grid"/>
    <w:basedOn w:val="TableNormal"/>
    <w:uiPriority w:val="59"/>
    <w:rsid w:val="0027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D1"/>
    <w:pPr>
      <w:ind w:left="720"/>
      <w:contextualSpacing/>
    </w:pPr>
  </w:style>
  <w:style w:type="table" w:styleId="TableGrid">
    <w:name w:val="Table Grid"/>
    <w:basedOn w:val="TableNormal"/>
    <w:uiPriority w:val="59"/>
    <w:rsid w:val="0027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Bayley, William Gerhardt</dc:creator>
  <cp:lastModifiedBy>Grigsby, Zachary P</cp:lastModifiedBy>
  <cp:revision>4</cp:revision>
  <dcterms:created xsi:type="dcterms:W3CDTF">2014-11-05T16:25:00Z</dcterms:created>
  <dcterms:modified xsi:type="dcterms:W3CDTF">2014-11-13T18:32:00Z</dcterms:modified>
</cp:coreProperties>
</file>