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ECD0" w14:textId="547B94BB" w:rsidR="00661C87" w:rsidRDefault="004E020F" w:rsidP="00446A01">
      <w:pPr>
        <w:pStyle w:val="Heading1"/>
      </w:pPr>
      <w:r>
        <w:t>Honorlock and Respondus Monitor</w:t>
      </w:r>
      <w:r w:rsidR="003F032B">
        <w:t xml:space="preserve"> </w:t>
      </w:r>
      <w:r>
        <w:t>Feature Comparison</w:t>
      </w:r>
    </w:p>
    <w:p w14:paraId="36AA16C9" w14:textId="77777777" w:rsidR="004E020F" w:rsidRPr="004E020F" w:rsidRDefault="004E020F" w:rsidP="004E020F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2155"/>
        <w:gridCol w:w="4320"/>
        <w:gridCol w:w="4320"/>
      </w:tblGrid>
      <w:tr w:rsidR="001E5CE0" w:rsidRPr="00F14BC7" w14:paraId="7EB173C4" w14:textId="77777777" w:rsidTr="7EE11D9F">
        <w:trPr>
          <w:trHeight w:val="323"/>
        </w:trPr>
        <w:tc>
          <w:tcPr>
            <w:tcW w:w="2155" w:type="dxa"/>
            <w:shd w:val="clear" w:color="auto" w:fill="D9D9D9" w:themeFill="background1" w:themeFillShade="D9"/>
          </w:tcPr>
          <w:p w14:paraId="6B184763" w14:textId="77777777" w:rsidR="003F032B" w:rsidRPr="0064376D" w:rsidRDefault="003F032B" w:rsidP="007567FE">
            <w:pPr>
              <w:jc w:val="center"/>
              <w:rPr>
                <w:rFonts w:cstheme="minorHAnsi"/>
                <w:b/>
                <w:bCs/>
              </w:rPr>
            </w:pPr>
            <w:r w:rsidRPr="0064376D">
              <w:rPr>
                <w:rFonts w:cstheme="minorHAnsi"/>
                <w:b/>
                <w:bCs/>
              </w:rPr>
              <w:t>Feature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D77940F" w14:textId="77777777" w:rsidR="003F032B" w:rsidRPr="0064376D" w:rsidRDefault="003F032B" w:rsidP="007567FE">
            <w:pPr>
              <w:jc w:val="center"/>
              <w:rPr>
                <w:rFonts w:cstheme="minorHAnsi"/>
                <w:b/>
                <w:bCs/>
              </w:rPr>
            </w:pPr>
            <w:r w:rsidRPr="0064376D">
              <w:rPr>
                <w:rFonts w:cstheme="minorHAnsi"/>
                <w:b/>
                <w:bCs/>
              </w:rPr>
              <w:t>Honorlock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0F77B6EE" w14:textId="77777777" w:rsidR="003F032B" w:rsidRPr="0064376D" w:rsidRDefault="003F032B" w:rsidP="007567FE">
            <w:pPr>
              <w:jc w:val="center"/>
              <w:rPr>
                <w:rFonts w:cstheme="minorHAnsi"/>
                <w:b/>
                <w:bCs/>
              </w:rPr>
            </w:pPr>
            <w:r w:rsidRPr="0064376D">
              <w:rPr>
                <w:rFonts w:cstheme="minorHAnsi"/>
                <w:b/>
                <w:bCs/>
              </w:rPr>
              <w:t>Respondus Monitor</w:t>
            </w:r>
          </w:p>
        </w:tc>
      </w:tr>
      <w:tr w:rsidR="001E5CE0" w:rsidRPr="00F14BC7" w14:paraId="4518E1C0" w14:textId="77777777" w:rsidTr="7EE11D9F">
        <w:tc>
          <w:tcPr>
            <w:tcW w:w="2155" w:type="dxa"/>
          </w:tcPr>
          <w:p w14:paraId="78B325F4" w14:textId="77777777" w:rsidR="003F032B" w:rsidRPr="0064376D" w:rsidRDefault="003F032B" w:rsidP="007567FE">
            <w:pPr>
              <w:rPr>
                <w:rFonts w:cstheme="minorHAnsi"/>
                <w:b/>
                <w:bCs/>
              </w:rPr>
            </w:pPr>
            <w:r w:rsidRPr="0064376D">
              <w:rPr>
                <w:rFonts w:cstheme="minorHAnsi"/>
                <w:b/>
                <w:bCs/>
              </w:rPr>
              <w:t>Cost</w:t>
            </w:r>
          </w:p>
        </w:tc>
        <w:tc>
          <w:tcPr>
            <w:tcW w:w="4320" w:type="dxa"/>
          </w:tcPr>
          <w:p w14:paraId="0BC3F64F" w14:textId="077B1A1B" w:rsidR="003F032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2026: $8.24 per exam session</w:t>
            </w:r>
          </w:p>
          <w:p w14:paraId="77CCE121" w14:textId="4B6547AA" w:rsidR="003F032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2027: $8.49 per exam session</w:t>
            </w:r>
          </w:p>
          <w:p w14:paraId="09E5A42E" w14:textId="77777777" w:rsidR="003F032B" w:rsidRPr="0064376D" w:rsidRDefault="003F032B" w:rsidP="007567FE">
            <w:pPr>
              <w:rPr>
                <w:rFonts w:cstheme="minorHAnsi"/>
              </w:rPr>
            </w:pPr>
          </w:p>
          <w:p w14:paraId="49D82F7C" w14:textId="5301F769" w:rsidR="003F032B" w:rsidRPr="0064376D" w:rsidRDefault="003F032B" w:rsidP="7EE11D9F">
            <w:r w:rsidRPr="7EE11D9F">
              <w:t xml:space="preserve">All fees are </w:t>
            </w:r>
            <w:r w:rsidR="00DA2C11" w:rsidRPr="7EE11D9F">
              <w:t>paid</w:t>
            </w:r>
            <w:r w:rsidR="003D2782" w:rsidRPr="7EE11D9F">
              <w:t xml:space="preserve"> by</w:t>
            </w:r>
            <w:r w:rsidRPr="7EE11D9F">
              <w:t xml:space="preserve"> the</w:t>
            </w:r>
            <w:r w:rsidR="00DA2C11" w:rsidRPr="7EE11D9F">
              <w:t xml:space="preserve"> </w:t>
            </w:r>
            <w:r w:rsidR="4100CCD2" w:rsidRPr="7EE11D9F">
              <w:t>instructor</w:t>
            </w:r>
            <w:r w:rsidR="00DA2C11" w:rsidRPr="7EE11D9F">
              <w:t>’s</w:t>
            </w:r>
            <w:r w:rsidRPr="7EE11D9F">
              <w:t xml:space="preserve"> department.</w:t>
            </w:r>
            <w:r w:rsidR="009066CF" w:rsidRPr="7EE11D9F">
              <w:t xml:space="preserve">  </w:t>
            </w:r>
            <w:r w:rsidR="00B15261" w:rsidRPr="7EE11D9F">
              <w:t xml:space="preserve">To both approve use of the tool and </w:t>
            </w:r>
            <w:r w:rsidR="0075536A" w:rsidRPr="7EE11D9F">
              <w:t xml:space="preserve">confirm </w:t>
            </w:r>
            <w:r w:rsidR="000A68FA" w:rsidRPr="7EE11D9F">
              <w:t xml:space="preserve">the </w:t>
            </w:r>
            <w:r w:rsidR="00B15261" w:rsidRPr="7EE11D9F">
              <w:t xml:space="preserve">department’s commitment to funding, </w:t>
            </w:r>
            <w:r w:rsidR="000A68FA" w:rsidRPr="7EE11D9F">
              <w:t xml:space="preserve">the </w:t>
            </w:r>
            <w:r w:rsidR="5789EB70" w:rsidRPr="7EE11D9F">
              <w:t>instructo</w:t>
            </w:r>
            <w:r w:rsidR="000A68FA" w:rsidRPr="7EE11D9F">
              <w:t>r’s</w:t>
            </w:r>
            <w:r w:rsidR="00B15261" w:rsidRPr="7EE11D9F">
              <w:t xml:space="preserve"> Department Head, Associate Dean, or their approved designee must </w:t>
            </w:r>
            <w:hyperlink r:id="rId8">
              <w:r w:rsidR="00B15261" w:rsidRPr="7EE11D9F">
                <w:rPr>
                  <w:rStyle w:val="Hyperlink"/>
                </w:rPr>
                <w:t>submit a form</w:t>
              </w:r>
            </w:hyperlink>
            <w:r w:rsidR="00B15261" w:rsidRPr="7EE11D9F">
              <w:t xml:space="preserve"> for each Brightspace course approve</w:t>
            </w:r>
            <w:r w:rsidR="00DC75AA" w:rsidRPr="7EE11D9F">
              <w:t>d</w:t>
            </w:r>
            <w:r w:rsidR="00B15261" w:rsidRPr="7EE11D9F">
              <w:t xml:space="preserve"> to use Honorlock.</w:t>
            </w:r>
          </w:p>
        </w:tc>
        <w:tc>
          <w:tcPr>
            <w:tcW w:w="4320" w:type="dxa"/>
          </w:tcPr>
          <w:p w14:paraId="13BCB691" w14:textId="77777777" w:rsidR="003F032B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No charge</w:t>
            </w:r>
          </w:p>
          <w:p w14:paraId="2F155E78" w14:textId="77777777" w:rsidR="00B47165" w:rsidRDefault="00B47165" w:rsidP="007567FE">
            <w:pPr>
              <w:rPr>
                <w:rFonts w:cstheme="minorHAnsi"/>
              </w:rPr>
            </w:pPr>
          </w:p>
          <w:p w14:paraId="68554BEB" w14:textId="77777777" w:rsidR="00B47165" w:rsidRDefault="00B47165" w:rsidP="007567FE">
            <w:pPr>
              <w:rPr>
                <w:rFonts w:cstheme="minorHAnsi"/>
              </w:rPr>
            </w:pPr>
          </w:p>
          <w:p w14:paraId="05A2796C" w14:textId="15CF736F" w:rsidR="00B47165" w:rsidRPr="0064376D" w:rsidRDefault="00B47165" w:rsidP="007567FE">
            <w:pPr>
              <w:rPr>
                <w:rFonts w:cstheme="minorHAnsi"/>
              </w:rPr>
            </w:pPr>
            <w:r>
              <w:rPr>
                <w:rFonts w:cstheme="minorHAnsi"/>
              </w:rPr>
              <w:t>Th</w:t>
            </w:r>
            <w:r w:rsidR="00DD7DB3">
              <w:rPr>
                <w:rFonts w:cstheme="minorHAnsi"/>
              </w:rPr>
              <w:t>is</w:t>
            </w:r>
            <w:r>
              <w:rPr>
                <w:rFonts w:cstheme="minorHAnsi"/>
              </w:rPr>
              <w:t xml:space="preserve"> tool is </w:t>
            </w:r>
            <w:r w:rsidR="0005517E">
              <w:rPr>
                <w:rFonts w:cstheme="minorHAnsi"/>
              </w:rPr>
              <w:t>centrally funded</w:t>
            </w:r>
            <w:r>
              <w:rPr>
                <w:rFonts w:cstheme="minorHAnsi"/>
              </w:rPr>
              <w:t xml:space="preserve"> by the university.</w:t>
            </w:r>
          </w:p>
        </w:tc>
      </w:tr>
      <w:tr w:rsidR="001E5CE0" w:rsidRPr="00F14BC7" w14:paraId="62575FBA" w14:textId="77777777" w:rsidTr="7EE11D9F">
        <w:tc>
          <w:tcPr>
            <w:tcW w:w="2155" w:type="dxa"/>
          </w:tcPr>
          <w:p w14:paraId="66996175" w14:textId="77777777" w:rsidR="003F032B" w:rsidRPr="0064376D" w:rsidRDefault="003F032B" w:rsidP="007567FE">
            <w:pPr>
              <w:rPr>
                <w:rFonts w:cstheme="minorHAnsi"/>
                <w:b/>
                <w:bCs/>
              </w:rPr>
            </w:pPr>
            <w:r w:rsidRPr="0064376D">
              <w:rPr>
                <w:rFonts w:cstheme="minorHAnsi"/>
                <w:b/>
                <w:bCs/>
              </w:rPr>
              <w:t>Installation Type</w:t>
            </w:r>
          </w:p>
        </w:tc>
        <w:tc>
          <w:tcPr>
            <w:tcW w:w="4320" w:type="dxa"/>
          </w:tcPr>
          <w:p w14:paraId="253CB620" w14:textId="77777777" w:rsidR="003F032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Chrome browser extension</w:t>
            </w:r>
          </w:p>
        </w:tc>
        <w:tc>
          <w:tcPr>
            <w:tcW w:w="4320" w:type="dxa"/>
          </w:tcPr>
          <w:p w14:paraId="25239D54" w14:textId="6C84BCB7" w:rsidR="003F032B" w:rsidRPr="0064376D" w:rsidRDefault="12216A53" w:rsidP="7EE11D9F">
            <w:pPr>
              <w:spacing w:line="259" w:lineRule="auto"/>
            </w:pPr>
            <w:r w:rsidRPr="7EE11D9F">
              <w:t>Standalone browser</w:t>
            </w:r>
          </w:p>
        </w:tc>
      </w:tr>
      <w:tr w:rsidR="001E5CE0" w:rsidRPr="00F14BC7" w14:paraId="219246CC" w14:textId="77777777" w:rsidTr="7EE11D9F">
        <w:tc>
          <w:tcPr>
            <w:tcW w:w="2155" w:type="dxa"/>
          </w:tcPr>
          <w:p w14:paraId="4D0055F6" w14:textId="77777777" w:rsidR="003F032B" w:rsidRPr="0064376D" w:rsidRDefault="003F032B" w:rsidP="007567FE">
            <w:pPr>
              <w:rPr>
                <w:rFonts w:cstheme="minorHAnsi"/>
                <w:b/>
                <w:bCs/>
              </w:rPr>
            </w:pPr>
            <w:r w:rsidRPr="0064376D">
              <w:rPr>
                <w:rFonts w:cstheme="minorHAnsi"/>
                <w:b/>
                <w:bCs/>
              </w:rPr>
              <w:t>Brightspace Integration</w:t>
            </w:r>
          </w:p>
        </w:tc>
        <w:tc>
          <w:tcPr>
            <w:tcW w:w="4320" w:type="dxa"/>
          </w:tcPr>
          <w:p w14:paraId="748AB5E5" w14:textId="253CC913" w:rsidR="003F032B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Yes</w:t>
            </w:r>
            <w:r w:rsidR="00751532">
              <w:rPr>
                <w:rFonts w:cstheme="minorHAnsi"/>
              </w:rPr>
              <w:t>.  The integratio</w:t>
            </w:r>
            <w:r w:rsidR="00701FAA">
              <w:rPr>
                <w:rFonts w:cstheme="minorHAnsi"/>
              </w:rPr>
              <w:t>n is available within your Brightspace course by:</w:t>
            </w:r>
          </w:p>
          <w:p w14:paraId="20DD0BF1" w14:textId="12C21EA1" w:rsidR="00701FAA" w:rsidRDefault="0000310A" w:rsidP="00701FA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Click</w:t>
            </w:r>
            <w:r w:rsidR="00C62528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</w:t>
            </w:r>
            <w:r w:rsidR="00701FAA">
              <w:rPr>
                <w:rFonts w:cstheme="minorHAnsi"/>
              </w:rPr>
              <w:t>Content</w:t>
            </w:r>
          </w:p>
          <w:p w14:paraId="2AD04EED" w14:textId="326DFF87" w:rsidR="00701FAA" w:rsidRDefault="0000310A" w:rsidP="00701FA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Creat</w:t>
            </w:r>
            <w:r w:rsidR="00C62528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a content module</w:t>
            </w:r>
          </w:p>
          <w:p w14:paraId="7F537986" w14:textId="5510EAAC" w:rsidR="0000310A" w:rsidRDefault="0000310A" w:rsidP="00701FA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Click</w:t>
            </w:r>
            <w:r w:rsidR="00637A83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Existing Activities</w:t>
            </w:r>
          </w:p>
          <w:p w14:paraId="2D75E164" w14:textId="165BC2EF" w:rsidR="0000310A" w:rsidRDefault="0000310A" w:rsidP="00701FA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Select</w:t>
            </w:r>
            <w:r w:rsidR="00637A83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External Learning Tools</w:t>
            </w:r>
          </w:p>
          <w:p w14:paraId="20EE8DB8" w14:textId="164C5206" w:rsidR="0000310A" w:rsidRPr="00701FAA" w:rsidRDefault="00E30814" w:rsidP="00701FA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Click</w:t>
            </w:r>
            <w:r w:rsidR="00637A83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Honorlock from the list</w:t>
            </w:r>
          </w:p>
        </w:tc>
        <w:tc>
          <w:tcPr>
            <w:tcW w:w="4320" w:type="dxa"/>
          </w:tcPr>
          <w:p w14:paraId="7FBC9C9A" w14:textId="27FAAA8E" w:rsidR="003F032B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Yes</w:t>
            </w:r>
            <w:r w:rsidR="00751532">
              <w:rPr>
                <w:rFonts w:cstheme="minorHAnsi"/>
              </w:rPr>
              <w:t xml:space="preserve">.  The integration is available </w:t>
            </w:r>
            <w:r w:rsidR="00F579F7">
              <w:rPr>
                <w:rFonts w:cstheme="minorHAnsi"/>
              </w:rPr>
              <w:t xml:space="preserve">within your Brightspace course </w:t>
            </w:r>
            <w:r w:rsidR="00DC26DB">
              <w:rPr>
                <w:rFonts w:cstheme="minorHAnsi"/>
              </w:rPr>
              <w:t>by:</w:t>
            </w:r>
          </w:p>
          <w:p w14:paraId="789B50D0" w14:textId="48D0A2D3" w:rsidR="00DC26DB" w:rsidRDefault="0000310A" w:rsidP="00DC26D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Click</w:t>
            </w:r>
            <w:r w:rsidR="00637A83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</w:t>
            </w:r>
            <w:r w:rsidR="00DC26DB">
              <w:rPr>
                <w:rFonts w:cstheme="minorHAnsi"/>
              </w:rPr>
              <w:t>Course To</w:t>
            </w:r>
            <w:r w:rsidR="00F579F7">
              <w:rPr>
                <w:rFonts w:cstheme="minorHAnsi"/>
              </w:rPr>
              <w:t>ols</w:t>
            </w:r>
          </w:p>
          <w:p w14:paraId="67481A2C" w14:textId="39D1FEEE" w:rsidR="00F579F7" w:rsidRDefault="0000310A" w:rsidP="00DC26D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Select</w:t>
            </w:r>
            <w:r w:rsidR="00637A83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</w:t>
            </w:r>
            <w:r w:rsidR="00F579F7">
              <w:rPr>
                <w:rFonts w:cstheme="minorHAnsi"/>
              </w:rPr>
              <w:t>Quizzes</w:t>
            </w:r>
          </w:p>
          <w:p w14:paraId="7ABF8D07" w14:textId="499AB5E7" w:rsidR="00F579F7" w:rsidRPr="00DC26DB" w:rsidRDefault="0000310A" w:rsidP="00DC26D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Click</w:t>
            </w:r>
            <w:r w:rsidR="00637A83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the </w:t>
            </w:r>
            <w:proofErr w:type="spellStart"/>
            <w:r w:rsidR="00F579F7">
              <w:rPr>
                <w:rFonts w:cstheme="minorHAnsi"/>
              </w:rPr>
              <w:t>LockDown</w:t>
            </w:r>
            <w:proofErr w:type="spellEnd"/>
            <w:r w:rsidR="00F579F7">
              <w:rPr>
                <w:rFonts w:cstheme="minorHAnsi"/>
              </w:rPr>
              <w:t xml:space="preserve"> Browser tab</w:t>
            </w:r>
          </w:p>
        </w:tc>
      </w:tr>
      <w:tr w:rsidR="001E5CE0" w:rsidRPr="00F14BC7" w14:paraId="7D0DDF01" w14:textId="77777777" w:rsidTr="7EE11D9F">
        <w:tc>
          <w:tcPr>
            <w:tcW w:w="2155" w:type="dxa"/>
          </w:tcPr>
          <w:p w14:paraId="03B2C054" w14:textId="77777777" w:rsidR="003F032B" w:rsidRPr="0064376D" w:rsidRDefault="003F032B" w:rsidP="007567FE">
            <w:pPr>
              <w:rPr>
                <w:rFonts w:cstheme="minorHAnsi"/>
                <w:b/>
                <w:bCs/>
              </w:rPr>
            </w:pPr>
            <w:r w:rsidRPr="0064376D">
              <w:rPr>
                <w:rFonts w:cstheme="minorHAnsi"/>
                <w:b/>
                <w:bCs/>
              </w:rPr>
              <w:t>Type of Proctoring</w:t>
            </w:r>
          </w:p>
        </w:tc>
        <w:tc>
          <w:tcPr>
            <w:tcW w:w="4320" w:type="dxa"/>
          </w:tcPr>
          <w:p w14:paraId="7B88FD2D" w14:textId="1324AB6D" w:rsidR="003F032B" w:rsidRPr="0064376D" w:rsidRDefault="003F032B" w:rsidP="007567FE">
            <w:pPr>
              <w:rPr>
                <w:rStyle w:val="SubtleEmphasis"/>
                <w:rFonts w:cstheme="minorHAnsi"/>
              </w:rPr>
            </w:pPr>
            <w:r w:rsidRPr="0064376D">
              <w:rPr>
                <w:rFonts w:cstheme="minorHAnsi"/>
              </w:rPr>
              <w:t>Hybrid</w:t>
            </w:r>
          </w:p>
          <w:p w14:paraId="51659D0F" w14:textId="77777777" w:rsidR="003F032B" w:rsidRPr="0064376D" w:rsidRDefault="003F032B" w:rsidP="007567FE">
            <w:pPr>
              <w:rPr>
                <w:rFonts w:cstheme="minorHAnsi"/>
              </w:rPr>
            </w:pPr>
          </w:p>
          <w:p w14:paraId="42473013" w14:textId="785563E8" w:rsidR="003F032B" w:rsidRPr="0064376D" w:rsidRDefault="003F032B" w:rsidP="7EE11D9F">
            <w:r w:rsidRPr="7EE11D9F">
              <w:t xml:space="preserve">AI monitors the session and </w:t>
            </w:r>
            <w:r w:rsidR="00A80D1F" w:rsidRPr="7EE11D9F">
              <w:t>flags any questionable events</w:t>
            </w:r>
            <w:r w:rsidRPr="7EE11D9F">
              <w:t xml:space="preserve">.  </w:t>
            </w:r>
            <w:r w:rsidR="00A80D1F" w:rsidRPr="7EE11D9F">
              <w:t>A</w:t>
            </w:r>
            <w:r w:rsidRPr="7EE11D9F">
              <w:t xml:space="preserve"> human proctor reviews the </w:t>
            </w:r>
            <w:r w:rsidR="00A80D1F" w:rsidRPr="7EE11D9F">
              <w:t>flags in real-time</w:t>
            </w:r>
            <w:r w:rsidR="004025F2" w:rsidRPr="7EE11D9F">
              <w:t xml:space="preserve">.  Flags deemed not impactful to academic integrity are dismissed.  </w:t>
            </w:r>
            <w:r w:rsidR="00E00EEB" w:rsidRPr="7EE11D9F">
              <w:t>Whe</w:t>
            </w:r>
            <w:r w:rsidR="00276ED8" w:rsidRPr="7EE11D9F">
              <w:t xml:space="preserve">n </w:t>
            </w:r>
            <w:r w:rsidR="00E00EEB" w:rsidRPr="7EE11D9F">
              <w:t xml:space="preserve">there are </w:t>
            </w:r>
            <w:r w:rsidR="4A52EA14" w:rsidRPr="7EE11D9F">
              <w:t>concerns,</w:t>
            </w:r>
            <w:r w:rsidR="00E00EEB" w:rsidRPr="7EE11D9F">
              <w:t xml:space="preserve"> the proctor may</w:t>
            </w:r>
            <w:r w:rsidRPr="7EE11D9F">
              <w:t xml:space="preserve"> pause the exam </w:t>
            </w:r>
            <w:r w:rsidR="00880DD5" w:rsidRPr="7EE11D9F">
              <w:t xml:space="preserve">session </w:t>
            </w:r>
            <w:r w:rsidRPr="7EE11D9F">
              <w:t>and communicate with the student via chat to resolve the issue.</w:t>
            </w:r>
            <w:r w:rsidR="00D67CC6" w:rsidRPr="7EE11D9F">
              <w:t xml:space="preserve">  All session details are provided for instructor review.</w:t>
            </w:r>
          </w:p>
        </w:tc>
        <w:tc>
          <w:tcPr>
            <w:tcW w:w="4320" w:type="dxa"/>
          </w:tcPr>
          <w:p w14:paraId="400C2AC2" w14:textId="00D13D82" w:rsidR="003F032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Automated</w:t>
            </w:r>
          </w:p>
          <w:p w14:paraId="2DD136DC" w14:textId="77777777" w:rsidR="003F032B" w:rsidRPr="0064376D" w:rsidRDefault="003F032B" w:rsidP="007567FE">
            <w:pPr>
              <w:rPr>
                <w:rFonts w:cstheme="minorHAnsi"/>
              </w:rPr>
            </w:pPr>
          </w:p>
          <w:p w14:paraId="4E325C5B" w14:textId="3DC93A3F" w:rsidR="009D3BA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The session is recorded and an</w:t>
            </w:r>
            <w:r w:rsidR="00986CF3">
              <w:rPr>
                <w:rFonts w:cstheme="minorHAnsi"/>
              </w:rPr>
              <w:t xml:space="preserve"> automated video analysis </w:t>
            </w:r>
            <w:r w:rsidRPr="0064376D">
              <w:rPr>
                <w:rFonts w:cstheme="minorHAnsi"/>
              </w:rPr>
              <w:t>flag</w:t>
            </w:r>
            <w:r w:rsidR="00DF69C6">
              <w:rPr>
                <w:rFonts w:cstheme="minorHAnsi"/>
              </w:rPr>
              <w:t>s any questionable events</w:t>
            </w:r>
            <w:r w:rsidRPr="0064376D">
              <w:rPr>
                <w:rFonts w:cstheme="minorHAnsi"/>
              </w:rPr>
              <w:t xml:space="preserve"> for instructor review.</w:t>
            </w:r>
          </w:p>
        </w:tc>
      </w:tr>
      <w:tr w:rsidR="001E5CE0" w:rsidRPr="00F14BC7" w14:paraId="62C1C38B" w14:textId="77777777" w:rsidTr="7EE11D9F">
        <w:tc>
          <w:tcPr>
            <w:tcW w:w="2155" w:type="dxa"/>
          </w:tcPr>
          <w:p w14:paraId="1831224D" w14:textId="77777777" w:rsidR="003F032B" w:rsidRPr="0064376D" w:rsidRDefault="003F032B" w:rsidP="007567FE">
            <w:pPr>
              <w:rPr>
                <w:rFonts w:cstheme="minorHAnsi"/>
                <w:b/>
                <w:bCs/>
              </w:rPr>
            </w:pPr>
            <w:r w:rsidRPr="0064376D">
              <w:rPr>
                <w:rFonts w:cstheme="minorHAnsi"/>
                <w:b/>
                <w:bCs/>
              </w:rPr>
              <w:t>Advance Scheduling Required</w:t>
            </w:r>
          </w:p>
        </w:tc>
        <w:tc>
          <w:tcPr>
            <w:tcW w:w="4320" w:type="dxa"/>
          </w:tcPr>
          <w:p w14:paraId="2FFD9E0B" w14:textId="77777777" w:rsidR="003F032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No</w:t>
            </w:r>
          </w:p>
        </w:tc>
        <w:tc>
          <w:tcPr>
            <w:tcW w:w="4320" w:type="dxa"/>
          </w:tcPr>
          <w:p w14:paraId="2FA4DD12" w14:textId="77777777" w:rsidR="003F032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No</w:t>
            </w:r>
          </w:p>
        </w:tc>
      </w:tr>
      <w:tr w:rsidR="001E5CE0" w:rsidRPr="00F14BC7" w14:paraId="08855012" w14:textId="77777777" w:rsidTr="7EE11D9F">
        <w:tc>
          <w:tcPr>
            <w:tcW w:w="2155" w:type="dxa"/>
          </w:tcPr>
          <w:p w14:paraId="3E779AB1" w14:textId="77777777" w:rsidR="003F032B" w:rsidRPr="0064376D" w:rsidRDefault="003F032B" w:rsidP="007567FE">
            <w:pPr>
              <w:rPr>
                <w:rFonts w:cstheme="minorHAnsi"/>
                <w:b/>
                <w:bCs/>
              </w:rPr>
            </w:pPr>
            <w:r w:rsidRPr="0064376D">
              <w:rPr>
                <w:rFonts w:cstheme="minorHAnsi"/>
                <w:b/>
                <w:bCs/>
              </w:rPr>
              <w:t>Desktop Applications Allowed</w:t>
            </w:r>
          </w:p>
        </w:tc>
        <w:tc>
          <w:tcPr>
            <w:tcW w:w="4320" w:type="dxa"/>
          </w:tcPr>
          <w:p w14:paraId="0D76410F" w14:textId="50D5C5E4" w:rsidR="003F032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Yes</w:t>
            </w:r>
            <w:r w:rsidR="00E955DD">
              <w:rPr>
                <w:rFonts w:cstheme="minorHAnsi"/>
              </w:rPr>
              <w:t xml:space="preserve">, if the instructor allows.  Supports </w:t>
            </w:r>
            <w:r w:rsidR="00F86E00">
              <w:rPr>
                <w:rFonts w:cstheme="minorHAnsi"/>
              </w:rPr>
              <w:t>accessing any local computer application.</w:t>
            </w:r>
          </w:p>
        </w:tc>
        <w:tc>
          <w:tcPr>
            <w:tcW w:w="4320" w:type="dxa"/>
          </w:tcPr>
          <w:p w14:paraId="0CAA9E3D" w14:textId="64EC93F5" w:rsidR="003F032B" w:rsidRPr="0064376D" w:rsidRDefault="00E955DD" w:rsidP="007567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Yes, if the instructor allows.  Supports </w:t>
            </w:r>
            <w:r w:rsidR="00F86E00">
              <w:rPr>
                <w:rFonts w:cstheme="minorHAnsi"/>
              </w:rPr>
              <w:t xml:space="preserve">accessing </w:t>
            </w:r>
            <w:r w:rsidR="00A97A5E">
              <w:rPr>
                <w:rFonts w:cstheme="minorHAnsi"/>
              </w:rPr>
              <w:t xml:space="preserve">Microsoft </w:t>
            </w:r>
            <w:r w:rsidR="003F032B" w:rsidRPr="0064376D">
              <w:rPr>
                <w:rFonts w:cstheme="minorHAnsi"/>
              </w:rPr>
              <w:t>Word or Excel only</w:t>
            </w:r>
            <w:r w:rsidR="00F86E00">
              <w:rPr>
                <w:rFonts w:cstheme="minorHAnsi"/>
              </w:rPr>
              <w:t>.</w:t>
            </w:r>
          </w:p>
        </w:tc>
      </w:tr>
      <w:tr w:rsidR="001E5CE0" w:rsidRPr="00F14BC7" w14:paraId="5D5A0A6A" w14:textId="77777777" w:rsidTr="7EE11D9F">
        <w:tc>
          <w:tcPr>
            <w:tcW w:w="2155" w:type="dxa"/>
          </w:tcPr>
          <w:p w14:paraId="7D5D8812" w14:textId="4FC2BF30" w:rsidR="003F032B" w:rsidRPr="0064376D" w:rsidRDefault="00234873" w:rsidP="007567F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Access to </w:t>
            </w:r>
            <w:r w:rsidR="003F032B" w:rsidRPr="0064376D">
              <w:rPr>
                <w:rFonts w:cstheme="minorHAnsi"/>
                <w:b/>
                <w:bCs/>
              </w:rPr>
              <w:t>Specifi</w:t>
            </w:r>
            <w:r>
              <w:rPr>
                <w:rFonts w:cstheme="minorHAnsi"/>
                <w:b/>
                <w:bCs/>
              </w:rPr>
              <w:t>c</w:t>
            </w:r>
            <w:r w:rsidR="003F032B" w:rsidRPr="0064376D">
              <w:rPr>
                <w:rFonts w:cstheme="minorHAnsi"/>
                <w:b/>
                <w:bCs/>
              </w:rPr>
              <w:t xml:space="preserve"> Websites Allowed</w:t>
            </w:r>
          </w:p>
        </w:tc>
        <w:tc>
          <w:tcPr>
            <w:tcW w:w="4320" w:type="dxa"/>
          </w:tcPr>
          <w:p w14:paraId="083A09F6" w14:textId="7BE23D02" w:rsidR="003F032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Yes</w:t>
            </w:r>
            <w:r w:rsidR="00F82DE7">
              <w:rPr>
                <w:rFonts w:cstheme="minorHAnsi"/>
              </w:rPr>
              <w:t>, if the instructor specifies.</w:t>
            </w:r>
          </w:p>
        </w:tc>
        <w:tc>
          <w:tcPr>
            <w:tcW w:w="4320" w:type="dxa"/>
          </w:tcPr>
          <w:p w14:paraId="359CD9BD" w14:textId="2C95F738" w:rsidR="003F032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Yes</w:t>
            </w:r>
            <w:r w:rsidR="00F82DE7">
              <w:rPr>
                <w:rFonts w:cstheme="minorHAnsi"/>
              </w:rPr>
              <w:t>, if the instructor specifies.</w:t>
            </w:r>
          </w:p>
        </w:tc>
      </w:tr>
      <w:tr w:rsidR="001E5CE0" w:rsidRPr="00F14BC7" w14:paraId="122E2530" w14:textId="77777777" w:rsidTr="7EE11D9F">
        <w:tc>
          <w:tcPr>
            <w:tcW w:w="2155" w:type="dxa"/>
          </w:tcPr>
          <w:p w14:paraId="624E6DC8" w14:textId="77777777" w:rsidR="003F032B" w:rsidRPr="0064376D" w:rsidRDefault="003F032B" w:rsidP="007567FE">
            <w:pPr>
              <w:rPr>
                <w:rFonts w:cstheme="minorHAnsi"/>
                <w:b/>
                <w:bCs/>
              </w:rPr>
            </w:pPr>
            <w:r w:rsidRPr="0064376D">
              <w:rPr>
                <w:rFonts w:cstheme="minorHAnsi"/>
                <w:b/>
                <w:bCs/>
              </w:rPr>
              <w:t>Recommended Uses</w:t>
            </w:r>
          </w:p>
        </w:tc>
        <w:tc>
          <w:tcPr>
            <w:tcW w:w="4320" w:type="dxa"/>
          </w:tcPr>
          <w:p w14:paraId="75D6735C" w14:textId="1E8030CE" w:rsidR="003F032B" w:rsidRPr="0064376D" w:rsidRDefault="003F032B" w:rsidP="7EE11D9F">
            <w:r w:rsidRPr="7EE11D9F">
              <w:t xml:space="preserve">High-stakes assessments; assessments </w:t>
            </w:r>
            <w:r w:rsidR="00F7476B" w:rsidRPr="7EE11D9F">
              <w:t xml:space="preserve">with </w:t>
            </w:r>
            <w:r w:rsidR="00306DDF" w:rsidRPr="7EE11D9F">
              <w:t>advanced</w:t>
            </w:r>
            <w:r w:rsidR="00F7476B" w:rsidRPr="7EE11D9F">
              <w:t xml:space="preserve"> instructions </w:t>
            </w:r>
            <w:r w:rsidRPr="7EE11D9F">
              <w:t>requiring full computer access</w:t>
            </w:r>
            <w:r w:rsidR="153D5FF6" w:rsidRPr="7EE11D9F">
              <w:t>.</w:t>
            </w:r>
          </w:p>
        </w:tc>
        <w:tc>
          <w:tcPr>
            <w:tcW w:w="4320" w:type="dxa"/>
          </w:tcPr>
          <w:p w14:paraId="3F148B3B" w14:textId="77777777" w:rsidR="003F032B" w:rsidRPr="0064376D" w:rsidRDefault="003F032B" w:rsidP="007567FE">
            <w:pPr>
              <w:rPr>
                <w:rFonts w:cstheme="minorHAnsi"/>
              </w:rPr>
            </w:pPr>
            <w:r w:rsidRPr="0064376D">
              <w:rPr>
                <w:rFonts w:cstheme="minorHAnsi"/>
              </w:rPr>
              <w:t>Low-stakes assessments; assessments with simple instructions and settings.</w:t>
            </w:r>
          </w:p>
        </w:tc>
      </w:tr>
      <w:tr w:rsidR="001E5CE0" w:rsidRPr="00F14BC7" w14:paraId="74395F3B" w14:textId="77777777" w:rsidTr="7EE11D9F">
        <w:tc>
          <w:tcPr>
            <w:tcW w:w="2155" w:type="dxa"/>
          </w:tcPr>
          <w:p w14:paraId="0F55523F" w14:textId="7DA106AE" w:rsidR="003F032B" w:rsidRPr="0064376D" w:rsidRDefault="00763643" w:rsidP="007567F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More Information</w:t>
            </w:r>
          </w:p>
        </w:tc>
        <w:tc>
          <w:tcPr>
            <w:tcW w:w="4320" w:type="dxa"/>
          </w:tcPr>
          <w:p w14:paraId="5740EA04" w14:textId="77777777" w:rsidR="003F032B" w:rsidRPr="0064376D" w:rsidRDefault="003F032B" w:rsidP="007567FE">
            <w:pPr>
              <w:rPr>
                <w:rFonts w:cstheme="minorHAnsi"/>
              </w:rPr>
            </w:pPr>
            <w:hyperlink r:id="rId9" w:history="1">
              <w:r w:rsidRPr="0064376D">
                <w:rPr>
                  <w:rStyle w:val="Hyperlink"/>
                  <w:rFonts w:cstheme="minorHAnsi"/>
                </w:rPr>
                <w:t>https://www.purdue.edu/innovativelearning/tools-resources/instructional-technology/honorlock/</w:t>
              </w:r>
            </w:hyperlink>
            <w:r w:rsidRPr="0064376D">
              <w:rPr>
                <w:rFonts w:cstheme="minorHAnsi"/>
              </w:rPr>
              <w:t xml:space="preserve"> </w:t>
            </w:r>
          </w:p>
        </w:tc>
        <w:tc>
          <w:tcPr>
            <w:tcW w:w="4320" w:type="dxa"/>
          </w:tcPr>
          <w:p w14:paraId="705E7EF5" w14:textId="77777777" w:rsidR="003F032B" w:rsidRPr="0064376D" w:rsidRDefault="003F032B" w:rsidP="007567FE">
            <w:pPr>
              <w:rPr>
                <w:rFonts w:cstheme="minorHAnsi"/>
              </w:rPr>
            </w:pPr>
            <w:hyperlink r:id="rId10" w:history="1">
              <w:r w:rsidRPr="0064376D">
                <w:rPr>
                  <w:rStyle w:val="Hyperlink"/>
                  <w:rFonts w:cstheme="minorHAnsi"/>
                </w:rPr>
                <w:t>https://www.purdue.edu/innovativelearning/tools-resources/instructional-technology/respondus-browser/</w:t>
              </w:r>
            </w:hyperlink>
            <w:r w:rsidRPr="0064376D">
              <w:rPr>
                <w:rFonts w:cstheme="minorHAnsi"/>
              </w:rPr>
              <w:t xml:space="preserve"> </w:t>
            </w:r>
          </w:p>
        </w:tc>
      </w:tr>
    </w:tbl>
    <w:p w14:paraId="21C960E1" w14:textId="77777777" w:rsidR="004E020F" w:rsidRPr="004E020F" w:rsidRDefault="004E020F" w:rsidP="004E020F"/>
    <w:sectPr w:rsidR="004E020F" w:rsidRPr="004E020F" w:rsidSect="00227C20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4424" w14:textId="77777777" w:rsidR="00493255" w:rsidRDefault="00493255" w:rsidP="00B22ABC">
      <w:r>
        <w:separator/>
      </w:r>
    </w:p>
  </w:endnote>
  <w:endnote w:type="continuationSeparator" w:id="0">
    <w:p w14:paraId="6B005FFA" w14:textId="77777777" w:rsidR="00493255" w:rsidRDefault="00493255" w:rsidP="00B2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84F8" w14:textId="77777777" w:rsidR="00F770F6" w:rsidRPr="009A04FD" w:rsidRDefault="00F770F6" w:rsidP="00F770F6">
    <w:pPr>
      <w:pStyle w:val="Footer"/>
      <w:rPr>
        <w:b/>
        <w:bCs/>
        <w:sz w:val="20"/>
        <w:szCs w:val="20"/>
      </w:rPr>
    </w:pPr>
    <w:r w:rsidRPr="009A04FD">
      <w:rPr>
        <w:b/>
        <w:bCs/>
        <w:sz w:val="20"/>
        <w:szCs w:val="20"/>
      </w:rPr>
      <w:t>Purdue Information Technology</w:t>
    </w:r>
  </w:p>
  <w:p w14:paraId="1D4ABCE4" w14:textId="77777777" w:rsidR="00F770F6" w:rsidRPr="009A04FD" w:rsidRDefault="00F770F6" w:rsidP="00F770F6">
    <w:pPr>
      <w:pStyle w:val="Footer"/>
      <w:numPr>
        <w:ilvl w:val="0"/>
        <w:numId w:val="3"/>
      </w:numPr>
      <w:rPr>
        <w:sz w:val="20"/>
        <w:szCs w:val="20"/>
      </w:rPr>
    </w:pPr>
    <w:r w:rsidRPr="009A04FD">
      <w:rPr>
        <w:sz w:val="20"/>
        <w:szCs w:val="20"/>
      </w:rPr>
      <w:t xml:space="preserve">Weblink: </w:t>
    </w:r>
    <w:hyperlink r:id="rId1" w:tgtFrame="_blank" w:history="1">
      <w:r w:rsidRPr="009A04FD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573D4368" w14:textId="77777777" w:rsidR="00F770F6" w:rsidRPr="009A04FD" w:rsidRDefault="00F770F6" w:rsidP="00F770F6">
    <w:pPr>
      <w:pStyle w:val="Footer"/>
      <w:numPr>
        <w:ilvl w:val="0"/>
        <w:numId w:val="3"/>
      </w:numPr>
      <w:rPr>
        <w:sz w:val="20"/>
        <w:szCs w:val="20"/>
      </w:rPr>
    </w:pPr>
    <w:r w:rsidRPr="009A04FD">
      <w:rPr>
        <w:sz w:val="20"/>
        <w:szCs w:val="20"/>
      </w:rPr>
      <w:t xml:space="preserve">Email: </w:t>
    </w:r>
    <w:hyperlink r:id="rId2" w:history="1">
      <w:r w:rsidRPr="009A04FD">
        <w:rPr>
          <w:rStyle w:val="Hyperlink"/>
          <w:b/>
          <w:bCs/>
          <w:sz w:val="20"/>
          <w:szCs w:val="20"/>
        </w:rPr>
        <w:t>it@purdue.edu</w:t>
      </w:r>
    </w:hyperlink>
  </w:p>
  <w:p w14:paraId="644FC42F" w14:textId="77777777" w:rsidR="00F770F6" w:rsidRPr="009A04FD" w:rsidRDefault="00F770F6" w:rsidP="00F770F6">
    <w:pPr>
      <w:pStyle w:val="Footer"/>
      <w:numPr>
        <w:ilvl w:val="0"/>
        <w:numId w:val="3"/>
      </w:numPr>
      <w:rPr>
        <w:sz w:val="20"/>
        <w:szCs w:val="20"/>
      </w:rPr>
    </w:pPr>
    <w:r w:rsidRPr="009A04FD">
      <w:rPr>
        <w:sz w:val="20"/>
        <w:szCs w:val="20"/>
      </w:rPr>
      <w:t>Phone: 765-494-4000 (44000 when dialing from a campus phone)</w:t>
    </w:r>
  </w:p>
  <w:p w14:paraId="0D6B193E" w14:textId="4A59E38A" w:rsidR="00B22ABC" w:rsidRPr="00F770F6" w:rsidRDefault="00F770F6">
    <w:pPr>
      <w:pStyle w:val="Footer"/>
      <w:rPr>
        <w:sz w:val="20"/>
        <w:szCs w:val="20"/>
      </w:rPr>
    </w:pPr>
    <w:r w:rsidRPr="009A04FD">
      <w:rPr>
        <w:sz w:val="20"/>
        <w:szCs w:val="20"/>
      </w:rPr>
      <w:t xml:space="preserve">Last Updated: </w:t>
    </w:r>
    <w:r w:rsidRPr="009A04FD">
      <w:rPr>
        <w:sz w:val="20"/>
        <w:szCs w:val="20"/>
      </w:rPr>
      <w:fldChar w:fldCharType="begin"/>
    </w:r>
    <w:r w:rsidRPr="009A04FD">
      <w:rPr>
        <w:sz w:val="20"/>
        <w:szCs w:val="20"/>
      </w:rPr>
      <w:instrText xml:space="preserve"> DATE   \* MERGEFORMAT </w:instrText>
    </w:r>
    <w:r w:rsidRPr="009A04FD">
      <w:rPr>
        <w:sz w:val="20"/>
        <w:szCs w:val="20"/>
      </w:rPr>
      <w:fldChar w:fldCharType="separate"/>
    </w:r>
    <w:r w:rsidR="007A1CE7">
      <w:rPr>
        <w:noProof/>
        <w:sz w:val="20"/>
        <w:szCs w:val="20"/>
      </w:rPr>
      <w:t>4/23/2026</w:t>
    </w:r>
    <w:r w:rsidRPr="009A04F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D67A" w14:textId="77777777" w:rsidR="00493255" w:rsidRDefault="00493255" w:rsidP="00B22ABC">
      <w:r>
        <w:separator/>
      </w:r>
    </w:p>
  </w:footnote>
  <w:footnote w:type="continuationSeparator" w:id="0">
    <w:p w14:paraId="0BF1BE16" w14:textId="77777777" w:rsidR="00493255" w:rsidRDefault="00493255" w:rsidP="00B2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B384E"/>
    <w:multiLevelType w:val="hybridMultilevel"/>
    <w:tmpl w:val="B1989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2E15"/>
    <w:multiLevelType w:val="hybridMultilevel"/>
    <w:tmpl w:val="2868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E6D"/>
    <w:multiLevelType w:val="hybridMultilevel"/>
    <w:tmpl w:val="85243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F2D96"/>
    <w:multiLevelType w:val="hybridMultilevel"/>
    <w:tmpl w:val="1876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06113">
    <w:abstractNumId w:val="2"/>
  </w:num>
  <w:num w:numId="2" w16cid:durableId="1884251872">
    <w:abstractNumId w:val="3"/>
  </w:num>
  <w:num w:numId="3" w16cid:durableId="320237969">
    <w:abstractNumId w:val="0"/>
  </w:num>
  <w:num w:numId="4" w16cid:durableId="1850946966">
    <w:abstractNumId w:val="4"/>
  </w:num>
  <w:num w:numId="5" w16cid:durableId="19735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11"/>
    <w:rsid w:val="0000310A"/>
    <w:rsid w:val="0001480B"/>
    <w:rsid w:val="00045069"/>
    <w:rsid w:val="00046534"/>
    <w:rsid w:val="0005517E"/>
    <w:rsid w:val="000652F9"/>
    <w:rsid w:val="0007631C"/>
    <w:rsid w:val="00091AE2"/>
    <w:rsid w:val="000A65B3"/>
    <w:rsid w:val="000A68FA"/>
    <w:rsid w:val="000D153A"/>
    <w:rsid w:val="00107941"/>
    <w:rsid w:val="00111F22"/>
    <w:rsid w:val="001168EA"/>
    <w:rsid w:val="0016546D"/>
    <w:rsid w:val="001A290E"/>
    <w:rsid w:val="001C1A3F"/>
    <w:rsid w:val="001C78BE"/>
    <w:rsid w:val="001D289A"/>
    <w:rsid w:val="001E5CE0"/>
    <w:rsid w:val="00200377"/>
    <w:rsid w:val="00227C20"/>
    <w:rsid w:val="00234873"/>
    <w:rsid w:val="00263412"/>
    <w:rsid w:val="00276ED8"/>
    <w:rsid w:val="00286722"/>
    <w:rsid w:val="00287B70"/>
    <w:rsid w:val="002915A9"/>
    <w:rsid w:val="002A5D3A"/>
    <w:rsid w:val="00306DDF"/>
    <w:rsid w:val="00310CEC"/>
    <w:rsid w:val="0031760E"/>
    <w:rsid w:val="00355C97"/>
    <w:rsid w:val="00361E0C"/>
    <w:rsid w:val="00363276"/>
    <w:rsid w:val="003663BA"/>
    <w:rsid w:val="00366E76"/>
    <w:rsid w:val="00381B10"/>
    <w:rsid w:val="003A6E5D"/>
    <w:rsid w:val="003A7C37"/>
    <w:rsid w:val="003C6F33"/>
    <w:rsid w:val="003C787A"/>
    <w:rsid w:val="003D08FD"/>
    <w:rsid w:val="003D2782"/>
    <w:rsid w:val="003D2DD4"/>
    <w:rsid w:val="003E20AF"/>
    <w:rsid w:val="003E71DD"/>
    <w:rsid w:val="003F032B"/>
    <w:rsid w:val="003F1211"/>
    <w:rsid w:val="004025F2"/>
    <w:rsid w:val="00407F6A"/>
    <w:rsid w:val="00425A3D"/>
    <w:rsid w:val="004264E1"/>
    <w:rsid w:val="00436D30"/>
    <w:rsid w:val="00446A01"/>
    <w:rsid w:val="004513AF"/>
    <w:rsid w:val="00465E90"/>
    <w:rsid w:val="00466A9A"/>
    <w:rsid w:val="00490844"/>
    <w:rsid w:val="00492EEB"/>
    <w:rsid w:val="00493255"/>
    <w:rsid w:val="0049408A"/>
    <w:rsid w:val="004A1BB1"/>
    <w:rsid w:val="004C34C7"/>
    <w:rsid w:val="004C4CF6"/>
    <w:rsid w:val="004D7EF6"/>
    <w:rsid w:val="004E020F"/>
    <w:rsid w:val="00510D1E"/>
    <w:rsid w:val="00513A95"/>
    <w:rsid w:val="005451DE"/>
    <w:rsid w:val="00545EE0"/>
    <w:rsid w:val="00553498"/>
    <w:rsid w:val="005731DB"/>
    <w:rsid w:val="00581084"/>
    <w:rsid w:val="00593537"/>
    <w:rsid w:val="005A3DFF"/>
    <w:rsid w:val="005A3F6A"/>
    <w:rsid w:val="005A5A15"/>
    <w:rsid w:val="005D6896"/>
    <w:rsid w:val="005E5DEB"/>
    <w:rsid w:val="005F5791"/>
    <w:rsid w:val="005F7B76"/>
    <w:rsid w:val="006018FE"/>
    <w:rsid w:val="00606CE0"/>
    <w:rsid w:val="00620E44"/>
    <w:rsid w:val="00621153"/>
    <w:rsid w:val="006375EF"/>
    <w:rsid w:val="00637A83"/>
    <w:rsid w:val="0064376D"/>
    <w:rsid w:val="00661C87"/>
    <w:rsid w:val="0067315C"/>
    <w:rsid w:val="006846BD"/>
    <w:rsid w:val="00694E2E"/>
    <w:rsid w:val="006C1B34"/>
    <w:rsid w:val="006C4C2E"/>
    <w:rsid w:val="006C6448"/>
    <w:rsid w:val="006D714A"/>
    <w:rsid w:val="00701FAA"/>
    <w:rsid w:val="00714F75"/>
    <w:rsid w:val="00721650"/>
    <w:rsid w:val="00733E9A"/>
    <w:rsid w:val="00744A59"/>
    <w:rsid w:val="0074694E"/>
    <w:rsid w:val="00751532"/>
    <w:rsid w:val="00752A27"/>
    <w:rsid w:val="0075536A"/>
    <w:rsid w:val="00763643"/>
    <w:rsid w:val="007A1CE7"/>
    <w:rsid w:val="007D3923"/>
    <w:rsid w:val="0080697A"/>
    <w:rsid w:val="0081157F"/>
    <w:rsid w:val="00826C05"/>
    <w:rsid w:val="008378BF"/>
    <w:rsid w:val="0085085D"/>
    <w:rsid w:val="00853E41"/>
    <w:rsid w:val="00880DD5"/>
    <w:rsid w:val="008C1C2B"/>
    <w:rsid w:val="008E5364"/>
    <w:rsid w:val="008E60D6"/>
    <w:rsid w:val="008F0AC0"/>
    <w:rsid w:val="009066CF"/>
    <w:rsid w:val="00911323"/>
    <w:rsid w:val="00917E52"/>
    <w:rsid w:val="00960B08"/>
    <w:rsid w:val="00986CF3"/>
    <w:rsid w:val="009D3BAB"/>
    <w:rsid w:val="00A37A62"/>
    <w:rsid w:val="00A42F0C"/>
    <w:rsid w:val="00A80D1F"/>
    <w:rsid w:val="00A97A5E"/>
    <w:rsid w:val="00B057C3"/>
    <w:rsid w:val="00B15261"/>
    <w:rsid w:val="00B20A21"/>
    <w:rsid w:val="00B22ABC"/>
    <w:rsid w:val="00B22BBA"/>
    <w:rsid w:val="00B230FB"/>
    <w:rsid w:val="00B47165"/>
    <w:rsid w:val="00B60B4D"/>
    <w:rsid w:val="00B70522"/>
    <w:rsid w:val="00B74745"/>
    <w:rsid w:val="00B83294"/>
    <w:rsid w:val="00B94514"/>
    <w:rsid w:val="00BA2191"/>
    <w:rsid w:val="00BA404D"/>
    <w:rsid w:val="00C01D84"/>
    <w:rsid w:val="00C24037"/>
    <w:rsid w:val="00C5734E"/>
    <w:rsid w:val="00C62528"/>
    <w:rsid w:val="00D00686"/>
    <w:rsid w:val="00D163F8"/>
    <w:rsid w:val="00D440BB"/>
    <w:rsid w:val="00D46048"/>
    <w:rsid w:val="00D46E03"/>
    <w:rsid w:val="00D60831"/>
    <w:rsid w:val="00D628A5"/>
    <w:rsid w:val="00D65811"/>
    <w:rsid w:val="00D67CC6"/>
    <w:rsid w:val="00D823EE"/>
    <w:rsid w:val="00DA2C11"/>
    <w:rsid w:val="00DA67CF"/>
    <w:rsid w:val="00DA7548"/>
    <w:rsid w:val="00DB5AFF"/>
    <w:rsid w:val="00DC26DB"/>
    <w:rsid w:val="00DC6AB4"/>
    <w:rsid w:val="00DC75AA"/>
    <w:rsid w:val="00DD3745"/>
    <w:rsid w:val="00DD7DB3"/>
    <w:rsid w:val="00DF69C6"/>
    <w:rsid w:val="00E00EEB"/>
    <w:rsid w:val="00E22D25"/>
    <w:rsid w:val="00E30814"/>
    <w:rsid w:val="00E45DFC"/>
    <w:rsid w:val="00E83EF2"/>
    <w:rsid w:val="00E94A03"/>
    <w:rsid w:val="00E955DD"/>
    <w:rsid w:val="00EA3EE0"/>
    <w:rsid w:val="00EB1C29"/>
    <w:rsid w:val="00EB48B1"/>
    <w:rsid w:val="00F16BEC"/>
    <w:rsid w:val="00F25463"/>
    <w:rsid w:val="00F46BFB"/>
    <w:rsid w:val="00F560C8"/>
    <w:rsid w:val="00F579F7"/>
    <w:rsid w:val="00F66581"/>
    <w:rsid w:val="00F7476B"/>
    <w:rsid w:val="00F770F6"/>
    <w:rsid w:val="00F82DE7"/>
    <w:rsid w:val="00F86E00"/>
    <w:rsid w:val="00F900C1"/>
    <w:rsid w:val="00F929DD"/>
    <w:rsid w:val="00F96ADD"/>
    <w:rsid w:val="00FA7E7C"/>
    <w:rsid w:val="00FB32B3"/>
    <w:rsid w:val="07D2FA02"/>
    <w:rsid w:val="0BCF7A75"/>
    <w:rsid w:val="12216A53"/>
    <w:rsid w:val="153D5FF6"/>
    <w:rsid w:val="3F3E87E3"/>
    <w:rsid w:val="4100CCD2"/>
    <w:rsid w:val="489C7E39"/>
    <w:rsid w:val="4A52EA14"/>
    <w:rsid w:val="5789EB70"/>
    <w:rsid w:val="7EE1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6333D"/>
  <w15:chartTrackingRefBased/>
  <w15:docId w15:val="{E48A048C-01F1-4270-8FDC-E5300EDF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8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8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8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8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81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65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1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2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ABC"/>
  </w:style>
  <w:style w:type="paragraph" w:styleId="Footer">
    <w:name w:val="footer"/>
    <w:basedOn w:val="Normal"/>
    <w:link w:val="FooterChar"/>
    <w:uiPriority w:val="99"/>
    <w:unhideWhenUsed/>
    <w:rsid w:val="00B22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ABC"/>
  </w:style>
  <w:style w:type="character" w:styleId="SubtleEmphasis">
    <w:name w:val="Subtle Emphasis"/>
    <w:basedOn w:val="DefaultParagraphFont"/>
    <w:uiPriority w:val="19"/>
    <w:qFormat/>
    <w:rsid w:val="003F032B"/>
    <w:rPr>
      <w:i/>
      <w:iCs/>
      <w:color w:val="808080" w:themeColor="text1" w:themeTint="7F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9ijjdgMUD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urdue.edu/innovativelearning/tools-resources/instructional-technology/respondus-brows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urdue.edu/innovativelearning/tools-resources/instructional-technology/honorlock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7202-71A8-4543-B538-87D0C547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2153</Characters>
  <Application>Microsoft Office Word</Application>
  <DocSecurity>0</DocSecurity>
  <Lines>93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Kozikowski</dc:creator>
  <cp:keywords/>
  <dc:description/>
  <cp:lastModifiedBy>Kate Kozikowski</cp:lastModifiedBy>
  <cp:revision>167</cp:revision>
  <dcterms:created xsi:type="dcterms:W3CDTF">2026-03-23T20:33:00Z</dcterms:created>
  <dcterms:modified xsi:type="dcterms:W3CDTF">2026-04-23T18:32:00Z</dcterms:modified>
</cp:coreProperties>
</file>