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B2F3" w14:textId="77777777" w:rsidR="00FD1F28" w:rsidRDefault="00000000">
      <w:pPr>
        <w:ind w:left="3419"/>
        <w:rPr>
          <w:sz w:val="20"/>
        </w:rPr>
      </w:pPr>
      <w:r>
        <w:rPr>
          <w:noProof/>
          <w:sz w:val="20"/>
        </w:rPr>
        <w:drawing>
          <wp:inline distT="0" distB="0" distL="0" distR="0" wp14:anchorId="1A6D88F8" wp14:editId="57D8ECF6">
            <wp:extent cx="2510894" cy="442341"/>
            <wp:effectExtent l="0" t="0" r="0" b="0"/>
            <wp:docPr id="2" name="Image 2" descr="Purdue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urdue University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894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DDED5" w14:textId="77777777" w:rsidR="00FD1F28" w:rsidRDefault="00FD1F28">
      <w:pPr>
        <w:pStyle w:val="BodyText"/>
      </w:pPr>
    </w:p>
    <w:p w14:paraId="7CEA60F3" w14:textId="77777777" w:rsidR="00FD1F28" w:rsidRDefault="00FD1F28">
      <w:pPr>
        <w:pStyle w:val="BodyText"/>
        <w:spacing w:before="47"/>
      </w:pPr>
    </w:p>
    <w:p w14:paraId="469646BC" w14:textId="77777777" w:rsidR="00FD1F28" w:rsidRDefault="00000000">
      <w:pPr>
        <w:pStyle w:val="Heading1"/>
      </w:pPr>
      <w:r>
        <w:t>Retirement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Minutes November 16, 2021</w:t>
      </w:r>
    </w:p>
    <w:p w14:paraId="0E2468E6" w14:textId="77777777" w:rsidR="00FD1F28" w:rsidRDefault="00000000">
      <w:pPr>
        <w:spacing w:line="293" w:lineRule="exact"/>
        <w:ind w:left="3078" w:right="271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1-3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p.m.</w:t>
      </w:r>
    </w:p>
    <w:p w14:paraId="25D907CA" w14:textId="77777777" w:rsidR="00FD1F28" w:rsidRDefault="00000000">
      <w:pPr>
        <w:pStyle w:val="Heading2"/>
      </w:pPr>
      <w:r>
        <w:t>via MS</w:t>
      </w:r>
      <w:r>
        <w:rPr>
          <w:spacing w:val="-1"/>
        </w:rPr>
        <w:t xml:space="preserve"> </w:t>
      </w:r>
      <w:r>
        <w:rPr>
          <w:spacing w:val="-2"/>
        </w:rPr>
        <w:t>Teams</w:t>
      </w:r>
    </w:p>
    <w:p w14:paraId="120C87C2" w14:textId="77777777" w:rsidR="00FD1F28" w:rsidRDefault="00FD1F28">
      <w:pPr>
        <w:pStyle w:val="BodyText"/>
        <w:spacing w:before="229"/>
        <w:rPr>
          <w:rFonts w:ascii="Calibri"/>
          <w:b/>
          <w:i/>
        </w:rPr>
      </w:pPr>
    </w:p>
    <w:p w14:paraId="05C0D9DF" w14:textId="77777777" w:rsidR="00FD1F28" w:rsidRDefault="00000000">
      <w:pPr>
        <w:ind w:left="360"/>
      </w:pPr>
      <w:r>
        <w:rPr>
          <w:u w:val="single"/>
        </w:rPr>
        <w:t>Participants:</w:t>
      </w:r>
      <w:r>
        <w:rPr>
          <w:spacing w:val="40"/>
        </w:rPr>
        <w:t xml:space="preserve"> </w:t>
      </w:r>
      <w:r>
        <w:t>Jim</w:t>
      </w:r>
      <w:r>
        <w:rPr>
          <w:spacing w:val="-6"/>
        </w:rPr>
        <w:t xml:space="preserve"> </w:t>
      </w:r>
      <w:r>
        <w:t>Almond, Bill</w:t>
      </w:r>
      <w:r>
        <w:rPr>
          <w:spacing w:val="-4"/>
        </w:rPr>
        <w:t xml:space="preserve"> </w:t>
      </w:r>
      <w:r>
        <w:t>Bell,</w:t>
      </w:r>
      <w:r>
        <w:rPr>
          <w:spacing w:val="-2"/>
        </w:rPr>
        <w:t xml:space="preserve"> </w:t>
      </w:r>
      <w:r>
        <w:t>Rick</w:t>
      </w:r>
      <w:r>
        <w:rPr>
          <w:spacing w:val="-5"/>
        </w:rPr>
        <w:t xml:space="preserve"> </w:t>
      </w:r>
      <w:proofErr w:type="spellStart"/>
      <w:r>
        <w:t>Cosier</w:t>
      </w:r>
      <w:proofErr w:type="spellEnd"/>
      <w:r>
        <w:t>,</w:t>
      </w:r>
      <w:r>
        <w:rPr>
          <w:spacing w:val="-2"/>
        </w:rPr>
        <w:t xml:space="preserve"> </w:t>
      </w:r>
      <w:r>
        <w:t>Sam</w:t>
      </w:r>
      <w:r>
        <w:rPr>
          <w:spacing w:val="-6"/>
        </w:rPr>
        <w:t xml:space="preserve"> </w:t>
      </w:r>
      <w:r>
        <w:t>Fehrman,</w:t>
      </w:r>
      <w:r>
        <w:rPr>
          <w:spacing w:val="-5"/>
        </w:rPr>
        <w:t xml:space="preserve"> </w:t>
      </w:r>
      <w:r>
        <w:t>Janine</w:t>
      </w:r>
      <w:r>
        <w:rPr>
          <w:spacing w:val="-2"/>
        </w:rPr>
        <w:t xml:space="preserve"> </w:t>
      </w:r>
      <w:r>
        <w:t>Gulbranson,</w:t>
      </w:r>
      <w:r>
        <w:rPr>
          <w:spacing w:val="-2"/>
        </w:rPr>
        <w:t xml:space="preserve"> </w:t>
      </w:r>
      <w:r>
        <w:t>Samanthi</w:t>
      </w:r>
      <w:r>
        <w:rPr>
          <w:spacing w:val="-1"/>
        </w:rPr>
        <w:t xml:space="preserve"> </w:t>
      </w:r>
      <w:r>
        <w:t>Obeyesekera</w:t>
      </w:r>
      <w:r>
        <w:rPr>
          <w:spacing w:val="-5"/>
        </w:rPr>
        <w:t xml:space="preserve"> </w:t>
      </w:r>
      <w:r>
        <w:rPr>
          <w:i/>
          <w:sz w:val="20"/>
        </w:rPr>
        <w:t>(on behalf of Colleen Banter)</w:t>
      </w:r>
      <w:r>
        <w:t>, Scott Seidle, Kay Shepherd, Steve Turner, Blair Webb</w:t>
      </w:r>
    </w:p>
    <w:p w14:paraId="527302EC" w14:textId="77777777" w:rsidR="00FD1F28" w:rsidRDefault="00FD1F28">
      <w:pPr>
        <w:pStyle w:val="BodyText"/>
        <w:spacing w:before="2"/>
        <w:rPr>
          <w:sz w:val="22"/>
        </w:rPr>
      </w:pPr>
    </w:p>
    <w:p w14:paraId="2143F971" w14:textId="77777777" w:rsidR="00FD1F28" w:rsidRDefault="00000000">
      <w:pPr>
        <w:ind w:left="360"/>
      </w:pPr>
      <w:r>
        <w:rPr>
          <w:u w:val="single"/>
        </w:rPr>
        <w:t>Unable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participate</w:t>
      </w:r>
      <w:r>
        <w:t>:</w:t>
      </w:r>
      <w:r>
        <w:rPr>
          <w:spacing w:val="50"/>
        </w:rPr>
        <w:t xml:space="preserve"> </w:t>
      </w:r>
      <w:r>
        <w:t>David</w:t>
      </w:r>
      <w:r>
        <w:rPr>
          <w:spacing w:val="-6"/>
        </w:rPr>
        <w:t xml:space="preserve"> </w:t>
      </w:r>
      <w:r>
        <w:t>Janes,</w:t>
      </w:r>
      <w:r>
        <w:rPr>
          <w:spacing w:val="-4"/>
        </w:rPr>
        <w:t xml:space="preserve"> </w:t>
      </w:r>
      <w:r>
        <w:t>Ryan</w:t>
      </w:r>
      <w:r>
        <w:rPr>
          <w:spacing w:val="-3"/>
        </w:rPr>
        <w:t xml:space="preserve"> </w:t>
      </w:r>
      <w:r>
        <w:t>Kay,</w:t>
      </w:r>
      <w:r>
        <w:rPr>
          <w:spacing w:val="-3"/>
        </w:rPr>
        <w:t xml:space="preserve"> </w:t>
      </w:r>
      <w:r>
        <w:t>Candace</w:t>
      </w:r>
      <w:r>
        <w:rPr>
          <w:spacing w:val="-3"/>
        </w:rPr>
        <w:t xml:space="preserve"> </w:t>
      </w:r>
      <w:r>
        <w:rPr>
          <w:spacing w:val="-2"/>
        </w:rPr>
        <w:t>Shaffer</w:t>
      </w:r>
    </w:p>
    <w:p w14:paraId="47C5387F" w14:textId="77777777" w:rsidR="00FD1F28" w:rsidRDefault="00000000">
      <w:pPr>
        <w:spacing w:before="251"/>
        <w:ind w:left="360"/>
      </w:pPr>
      <w:r>
        <w:rPr>
          <w:spacing w:val="-2"/>
          <w:u w:val="single"/>
        </w:rPr>
        <w:t>Guests:</w:t>
      </w:r>
    </w:p>
    <w:p w14:paraId="74152ECF" w14:textId="77777777" w:rsidR="00FD1F28" w:rsidRDefault="00000000">
      <w:pPr>
        <w:spacing w:before="1"/>
        <w:ind w:left="1260" w:right="232" w:hanging="901"/>
        <w:rPr>
          <w:sz w:val="18"/>
        </w:rPr>
      </w:pPr>
      <w:bookmarkStart w:id="0" w:name="David_Schneier_CISSP,_CTPRP;_Workplace_S"/>
      <w:bookmarkEnd w:id="0"/>
      <w:r>
        <w:t>Fidelity:</w:t>
      </w:r>
      <w:r>
        <w:rPr>
          <w:spacing w:val="80"/>
        </w:rPr>
        <w:t xml:space="preserve"> </w:t>
      </w:r>
      <w:r>
        <w:t xml:space="preserve">Anthony Frongillo; </w:t>
      </w:r>
      <w:r>
        <w:rPr>
          <w:sz w:val="18"/>
        </w:rPr>
        <w:t xml:space="preserve">Vice President, Managing Director; Personal and Workplace Investing | Tax-Exempt Market </w:t>
      </w:r>
      <w:r>
        <w:t>David</w:t>
      </w:r>
      <w:r>
        <w:rPr>
          <w:spacing w:val="-3"/>
        </w:rPr>
        <w:t xml:space="preserve"> </w:t>
      </w:r>
      <w:r>
        <w:t>Schneier</w:t>
      </w:r>
      <w:r>
        <w:rPr>
          <w:spacing w:val="-3"/>
        </w:rPr>
        <w:t xml:space="preserve"> </w:t>
      </w:r>
      <w:r>
        <w:rPr>
          <w:sz w:val="18"/>
        </w:rPr>
        <w:t>CISSP,</w:t>
      </w:r>
      <w:r>
        <w:rPr>
          <w:spacing w:val="-2"/>
          <w:sz w:val="18"/>
        </w:rPr>
        <w:t xml:space="preserve"> </w:t>
      </w:r>
      <w:r>
        <w:rPr>
          <w:sz w:val="18"/>
        </w:rPr>
        <w:t>CTPRP;</w:t>
      </w:r>
      <w:r>
        <w:rPr>
          <w:spacing w:val="-4"/>
          <w:sz w:val="18"/>
        </w:rPr>
        <w:t xml:space="preserve"> </w:t>
      </w:r>
      <w:r>
        <w:rPr>
          <w:sz w:val="18"/>
        </w:rPr>
        <w:t>Workplace</w:t>
      </w:r>
      <w:r>
        <w:rPr>
          <w:spacing w:val="-3"/>
          <w:sz w:val="18"/>
        </w:rPr>
        <w:t xml:space="preserve"> </w:t>
      </w:r>
      <w:r>
        <w:rPr>
          <w:sz w:val="18"/>
        </w:rPr>
        <w:t>Solutions</w:t>
      </w:r>
      <w:r>
        <w:rPr>
          <w:spacing w:val="-3"/>
          <w:sz w:val="18"/>
        </w:rPr>
        <w:t xml:space="preserve"> </w:t>
      </w:r>
      <w:r>
        <w:rPr>
          <w:sz w:val="18"/>
        </w:rPr>
        <w:t>(WS)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3"/>
          <w:sz w:val="18"/>
        </w:rPr>
        <w:t xml:space="preserve"> </w:t>
      </w:r>
      <w:r>
        <w:rPr>
          <w:sz w:val="18"/>
        </w:rPr>
        <w:t>Protection;</w:t>
      </w:r>
      <w:r>
        <w:rPr>
          <w:spacing w:val="-4"/>
          <w:sz w:val="18"/>
        </w:rPr>
        <w:t xml:space="preserve"> </w:t>
      </w: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WS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PI</w:t>
      </w:r>
      <w:r>
        <w:rPr>
          <w:spacing w:val="-3"/>
          <w:sz w:val="18"/>
        </w:rPr>
        <w:t xml:space="preserve"> </w:t>
      </w:r>
      <w:r>
        <w:rPr>
          <w:sz w:val="18"/>
        </w:rPr>
        <w:t>(TEM)</w:t>
      </w:r>
      <w:r>
        <w:rPr>
          <w:spacing w:val="-3"/>
          <w:sz w:val="18"/>
        </w:rPr>
        <w:t xml:space="preserve"> </w:t>
      </w:r>
      <w:r>
        <w:rPr>
          <w:sz w:val="18"/>
        </w:rPr>
        <w:t>clients; Principal Analyst, Client Protection</w:t>
      </w:r>
    </w:p>
    <w:p w14:paraId="6BB1B0C2" w14:textId="77777777" w:rsidR="00FD1F28" w:rsidRDefault="00FD1F28">
      <w:pPr>
        <w:pStyle w:val="BodyText"/>
        <w:rPr>
          <w:sz w:val="18"/>
        </w:rPr>
      </w:pPr>
    </w:p>
    <w:p w14:paraId="1AD70288" w14:textId="77777777" w:rsidR="00FD1F28" w:rsidRDefault="00FD1F28">
      <w:pPr>
        <w:pStyle w:val="BodyText"/>
        <w:spacing w:before="139"/>
        <w:rPr>
          <w:sz w:val="18"/>
        </w:rPr>
      </w:pPr>
    </w:p>
    <w:p w14:paraId="4588DF37" w14:textId="77777777" w:rsidR="00FD1F28" w:rsidRDefault="00000000">
      <w:pPr>
        <w:pStyle w:val="BodyText"/>
        <w:ind w:left="360"/>
      </w:pPr>
      <w:r>
        <w:t>This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contribution plans of Purdue University.</w:t>
      </w:r>
    </w:p>
    <w:p w14:paraId="2EE82995" w14:textId="77777777" w:rsidR="00FD1F28" w:rsidRDefault="00FD1F28">
      <w:pPr>
        <w:pStyle w:val="BodyText"/>
      </w:pPr>
    </w:p>
    <w:p w14:paraId="1B90027C" w14:textId="77777777" w:rsidR="00FD1F28" w:rsidRDefault="00000000">
      <w:pPr>
        <w:pStyle w:val="BodyText"/>
        <w:ind w:left="360"/>
      </w:pPr>
      <w:r>
        <w:t>Mr.</w:t>
      </w:r>
      <w:r>
        <w:rPr>
          <w:spacing w:val="-4"/>
        </w:rPr>
        <w:t xml:space="preserve"> </w:t>
      </w:r>
      <w:r>
        <w:t>Almond</w:t>
      </w:r>
      <w:r>
        <w:rPr>
          <w:spacing w:val="-4"/>
        </w:rPr>
        <w:t xml:space="preserve"> </w:t>
      </w:r>
      <w:r>
        <w:t>welcomed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Fidelity </w:t>
      </w:r>
      <w:r>
        <w:rPr>
          <w:spacing w:val="-2"/>
        </w:rPr>
        <w:t>participants.</w:t>
      </w:r>
    </w:p>
    <w:p w14:paraId="7EBC2237" w14:textId="77777777" w:rsidR="00FD1F28" w:rsidRDefault="00FD1F28">
      <w:pPr>
        <w:pStyle w:val="BodyText"/>
      </w:pPr>
    </w:p>
    <w:p w14:paraId="127989A6" w14:textId="77777777" w:rsidR="00FD1F28" w:rsidRDefault="00000000">
      <w:pPr>
        <w:pStyle w:val="BodyText"/>
        <w:ind w:left="359" w:right="16"/>
      </w:pPr>
      <w:r>
        <w:t>Fidelity representatives (see ‘guests’ above for names) shared a presentation focusing on cybersecurity. With over 1,000 staff dedicated to cybersecurity, Fidelity has controls, people and systems in place to help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secure.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National Institute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 xml:space="preserve">(NIST) Cybersecurity framework guidelines to create, guide, assess or improve comprehensive cybersecurity programs. Account protection features include two-factor authentication, real-time alerts for high-risk transactions and </w:t>
      </w:r>
      <w:proofErr w:type="spellStart"/>
      <w:r>
        <w:t>MyVoice</w:t>
      </w:r>
      <w:proofErr w:type="spellEnd"/>
      <w:r>
        <w:t xml:space="preserve"> phone authentication. Fidelity has been offering protection guarantee for funds erroneously taken from accounts, with no dollar limit.</w:t>
      </w:r>
    </w:p>
    <w:p w14:paraId="5BA26DE9" w14:textId="77777777" w:rsidR="00FD1F28" w:rsidRDefault="00FD1F28">
      <w:pPr>
        <w:pStyle w:val="BodyText"/>
      </w:pPr>
    </w:p>
    <w:p w14:paraId="015F5DDD" w14:textId="77777777" w:rsidR="00FD1F28" w:rsidRDefault="00000000">
      <w:pPr>
        <w:pStyle w:val="BodyText"/>
        <w:ind w:left="359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rPr>
          <w:spacing w:val="-2"/>
        </w:rPr>
        <w:t>minutes.</w:t>
      </w:r>
    </w:p>
    <w:p w14:paraId="42A08F12" w14:textId="77777777" w:rsidR="00FD1F28" w:rsidRDefault="00FD1F28">
      <w:pPr>
        <w:pStyle w:val="BodyText"/>
      </w:pPr>
    </w:p>
    <w:p w14:paraId="249D90B1" w14:textId="77777777" w:rsidR="00FD1F28" w:rsidRDefault="00000000">
      <w:pPr>
        <w:pStyle w:val="BodyText"/>
        <w:ind w:left="359" w:right="37"/>
      </w:pPr>
      <w:r>
        <w:t>Ms. Gulbranson provided the HR update on outreach and communication efforts, which included</w:t>
      </w:r>
      <w:r>
        <w:rPr>
          <w:spacing w:val="40"/>
        </w:rPr>
        <w:t xml:space="preserve"> </w:t>
      </w:r>
      <w:r>
        <w:t>articles and news shared through Purdue Today and the Healthy Boiler Newsletter. There were 554 participants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Fidelity</w:t>
      </w:r>
      <w:r>
        <w:rPr>
          <w:spacing w:val="-7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PMU</w:t>
      </w:r>
      <w:r>
        <w:rPr>
          <w:spacing w:val="-3"/>
        </w:rPr>
        <w:t xml:space="preserve"> </w:t>
      </w:r>
      <w:r>
        <w:t>164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open for</w:t>
      </w:r>
      <w:r>
        <w:rPr>
          <w:spacing w:val="-1"/>
        </w:rPr>
        <w:t xml:space="preserve"> </w:t>
      </w:r>
      <w:r>
        <w:t>in-person appointments.</w:t>
      </w:r>
      <w:r>
        <w:rPr>
          <w:spacing w:val="-1"/>
        </w:rPr>
        <w:t xml:space="preserve"> </w:t>
      </w:r>
      <w:r>
        <w:t>Work is underway</w:t>
      </w:r>
      <w:r>
        <w:rPr>
          <w:spacing w:val="-5"/>
        </w:rPr>
        <w:t xml:space="preserve"> </w:t>
      </w:r>
      <w:r>
        <w:t>to transition Purdue</w:t>
      </w:r>
      <w:r>
        <w:rPr>
          <w:spacing w:val="-1"/>
        </w:rPr>
        <w:t xml:space="preserve"> </w:t>
      </w:r>
      <w:r>
        <w:t>Global HR functions and activities – including benefit program, retirement and payroll administration – to Purdue HR beginning January 1, 2022. Also in progress is HR/payroll system configuration and testing to onboard employees of the newly created Purdue Applied Research Institute (PARI).</w:t>
      </w:r>
    </w:p>
    <w:p w14:paraId="4BC48B80" w14:textId="77777777" w:rsidR="00FD1F28" w:rsidRDefault="00FD1F28">
      <w:pPr>
        <w:pStyle w:val="BodyText"/>
      </w:pPr>
    </w:p>
    <w:p w14:paraId="4E2885FD" w14:textId="77777777" w:rsidR="00FD1F28" w:rsidRDefault="00000000">
      <w:pPr>
        <w:pStyle w:val="BodyText"/>
        <w:ind w:left="359"/>
      </w:pPr>
      <w:r>
        <w:t>Mr. Webb reviewed the retirement plan dashboard as of September 30, 2021, noting $2.6 billion was invested within the retirement platform’s four-tier structure. He noted that BlackRock is new on the listing, as they</w:t>
      </w:r>
      <w:r>
        <w:rPr>
          <w:spacing w:val="-5"/>
        </w:rPr>
        <w:t xml:space="preserve"> </w:t>
      </w:r>
      <w:r>
        <w:t>recently</w:t>
      </w:r>
      <w:r>
        <w:rPr>
          <w:spacing w:val="-5"/>
        </w:rPr>
        <w:t xml:space="preserve"> </w:t>
      </w:r>
      <w:r>
        <w:t>replaced Lazard. Approximately</w:t>
      </w:r>
      <w:r>
        <w:rPr>
          <w:spacing w:val="-5"/>
        </w:rPr>
        <w:t xml:space="preserve"> </w:t>
      </w:r>
      <w:r>
        <w:t>63%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participants invest in Tier</w:t>
      </w:r>
      <w:r>
        <w:rPr>
          <w:spacing w:val="-1"/>
        </w:rPr>
        <w:t xml:space="preserve"> </w:t>
      </w:r>
      <w:r>
        <w:t>1 target date funds;</w:t>
      </w:r>
      <w:r>
        <w:rPr>
          <w:spacing w:val="-3"/>
        </w:rPr>
        <w:t xml:space="preserve"> </w:t>
      </w:r>
      <w:r>
        <w:t>16%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passive</w:t>
      </w:r>
      <w:r>
        <w:rPr>
          <w:spacing w:val="-2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funds;</w:t>
      </w:r>
      <w:r>
        <w:rPr>
          <w:spacing w:val="-1"/>
        </w:rPr>
        <w:t xml:space="preserve"> </w:t>
      </w:r>
      <w:r>
        <w:t>16%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funds,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rPr>
          <w:spacing w:val="-2"/>
        </w:rPr>
        <w:t>MetLife</w:t>
      </w:r>
      <w:proofErr w:type="gramEnd"/>
    </w:p>
    <w:p w14:paraId="03A9289C" w14:textId="77777777" w:rsidR="00FD1F28" w:rsidRDefault="00FD1F28">
      <w:pPr>
        <w:pStyle w:val="BodyText"/>
        <w:sectPr w:rsidR="00FD1F28">
          <w:footerReference w:type="default" r:id="rId7"/>
          <w:type w:val="continuous"/>
          <w:pgSz w:w="12240" w:h="15840"/>
          <w:pgMar w:top="1000" w:right="1080" w:bottom="800" w:left="720" w:header="0" w:footer="609" w:gutter="0"/>
          <w:pgNumType w:start="1"/>
          <w:cols w:space="720"/>
        </w:sectPr>
      </w:pPr>
    </w:p>
    <w:p w14:paraId="0B879927" w14:textId="77777777" w:rsidR="00FD1F28" w:rsidRDefault="00000000">
      <w:pPr>
        <w:pStyle w:val="BodyText"/>
        <w:spacing w:before="63"/>
        <w:ind w:left="359" w:right="30"/>
      </w:pPr>
      <w:r>
        <w:lastRenderedPageBreak/>
        <w:t>Stable Value Option’; and 5% in Tier 4 through the brokerage window. The dashboard provided included</w:t>
      </w:r>
      <w:r>
        <w:rPr>
          <w:spacing w:val="-3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t>ratios,</w:t>
      </w:r>
      <w:r>
        <w:rPr>
          <w:spacing w:val="-1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calendar year-to-date,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5-year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 and 3 investment funds.</w:t>
      </w:r>
    </w:p>
    <w:p w14:paraId="6C0B34A6" w14:textId="77777777" w:rsidR="00FD1F28" w:rsidRDefault="00FD1F28">
      <w:pPr>
        <w:pStyle w:val="BodyText"/>
      </w:pPr>
    </w:p>
    <w:p w14:paraId="04EFA916" w14:textId="77777777" w:rsidR="00FD1F28" w:rsidRDefault="00000000">
      <w:pPr>
        <w:pStyle w:val="BodyText"/>
        <w:ind w:left="359"/>
      </w:pPr>
      <w:r>
        <w:t>Mr. Webb reviewed three active managers with the committee: PRIMECAP Odyssey</w:t>
      </w:r>
      <w:r>
        <w:rPr>
          <w:spacing w:val="-3"/>
        </w:rPr>
        <w:t xml:space="preserve"> </w:t>
      </w:r>
      <w:r>
        <w:t>Stock Fund, Voya Intermediate Bond Fund, and Dodge &amp; Cox Stock Fund. There are no recommended changes for any of these three managers, as they have had no major changes or issues. The Office of Investments is continually</w:t>
      </w:r>
      <w:r>
        <w:rPr>
          <w:spacing w:val="-7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managers,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 dig</w:t>
      </w:r>
      <w:r>
        <w:rPr>
          <w:spacing w:val="-5"/>
        </w:rPr>
        <w:t xml:space="preserve"> </w:t>
      </w:r>
      <w:r>
        <w:t xml:space="preserve">a little deeper and review a selected group of </w:t>
      </w:r>
      <w:proofErr w:type="gramStart"/>
      <w:r>
        <w:t>manager</w:t>
      </w:r>
      <w:proofErr w:type="gramEnd"/>
      <w:r>
        <w:t xml:space="preserve"> in greater detail.</w:t>
      </w:r>
    </w:p>
    <w:p w14:paraId="7936704E" w14:textId="77777777" w:rsidR="00FD1F28" w:rsidRDefault="00FD1F28">
      <w:pPr>
        <w:pStyle w:val="BodyText"/>
      </w:pPr>
    </w:p>
    <w:p w14:paraId="387F4CD5" w14:textId="77777777" w:rsidR="00FD1F28" w:rsidRDefault="00000000">
      <w:pPr>
        <w:pStyle w:val="BodyText"/>
        <w:ind w:left="359"/>
      </w:pPr>
      <w:r>
        <w:t xml:space="preserve">Mr. </w:t>
      </w:r>
      <w:proofErr w:type="spellStart"/>
      <w:r>
        <w:t>Cosier</w:t>
      </w:r>
      <w:proofErr w:type="spellEnd"/>
      <w:r>
        <w:t xml:space="preserve"> inquired if there was a plan to remarket the current recordkeeping structure given its implementation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2011.</w:t>
      </w:r>
      <w:r>
        <w:rPr>
          <w:spacing w:val="-5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Almond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Bell</w:t>
      </w:r>
      <w:r>
        <w:rPr>
          <w:spacing w:val="-3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point we should go out to the market and make sure we continue to have a best-in-class vendor.</w:t>
      </w:r>
    </w:p>
    <w:p w14:paraId="06B361D2" w14:textId="77777777" w:rsidR="00FD1F28" w:rsidRDefault="00FD1F28">
      <w:pPr>
        <w:pStyle w:val="BodyText"/>
      </w:pPr>
    </w:p>
    <w:p w14:paraId="2ABC71FC" w14:textId="77777777" w:rsidR="00FD1F28" w:rsidRDefault="00000000">
      <w:pPr>
        <w:pStyle w:val="BodyText"/>
        <w:ind w:left="359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(still</w:t>
      </w:r>
      <w:r>
        <w:rPr>
          <w:spacing w:val="-2"/>
        </w:rPr>
        <w:t xml:space="preserve"> </w:t>
      </w:r>
      <w:r>
        <w:t>virtual)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ET.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special topics for future meetings should forward the suggested items to Mr. Almond.</w:t>
      </w:r>
    </w:p>
    <w:sectPr w:rsidR="00FD1F28">
      <w:pgSz w:w="12240" w:h="15840"/>
      <w:pgMar w:top="920" w:right="1080" w:bottom="800" w:left="72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1D99" w14:textId="77777777" w:rsidR="00280BFA" w:rsidRDefault="00280BFA">
      <w:r>
        <w:separator/>
      </w:r>
    </w:p>
  </w:endnote>
  <w:endnote w:type="continuationSeparator" w:id="0">
    <w:p w14:paraId="39951403" w14:textId="77777777" w:rsidR="00280BFA" w:rsidRDefault="002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03E2" w14:textId="77777777" w:rsidR="00FD1F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634AAC4" wp14:editId="7D87DBF2">
              <wp:simplePos x="0" y="0"/>
              <wp:positionH relativeFrom="page">
                <wp:posOffset>5585037</wp:posOffset>
              </wp:positionH>
              <wp:positionV relativeFrom="page">
                <wp:posOffset>9532169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DBC56" w14:textId="77777777" w:rsidR="00FD1F28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4AA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9.75pt;margin-top:750.55pt;width:47.3pt;height:13.0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" filled="f" stroked="f">
              <v:textbox inset="0,0,0,0">
                <w:txbxContent>
                  <w:p w14:paraId="600DBC56" w14:textId="77777777" w:rsidR="00FD1F28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6966" w14:textId="77777777" w:rsidR="00280BFA" w:rsidRDefault="00280BFA">
      <w:r>
        <w:separator/>
      </w:r>
    </w:p>
  </w:footnote>
  <w:footnote w:type="continuationSeparator" w:id="0">
    <w:p w14:paraId="2CCDC97C" w14:textId="77777777" w:rsidR="00280BFA" w:rsidRDefault="0028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F28"/>
    <w:rsid w:val="00060C47"/>
    <w:rsid w:val="00280BFA"/>
    <w:rsid w:val="00F125CF"/>
    <w:rsid w:val="00F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4C39"/>
  <w15:docId w15:val="{4DA62377-78A5-4AF2-8200-B47666A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78" w:right="271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078" w:right="2721"/>
      <w:jc w:val="center"/>
      <w:outlineLvl w:val="1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3259</Characters>
  <Application>Microsoft Office Word</Application>
  <DocSecurity>0</DocSecurity>
  <Lines>44</Lines>
  <Paragraphs>12</Paragraphs>
  <ScaleCrop>false</ScaleCrop>
  <Company>Purdue University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Committee Meeting Minutes</dc:title>
  <dc:creator>promano</dc:creator>
  <cp:lastModifiedBy>Elizabeth E Gray</cp:lastModifiedBy>
  <cp:revision>2</cp:revision>
  <dcterms:created xsi:type="dcterms:W3CDTF">2026-04-11T15:36:00Z</dcterms:created>
  <dcterms:modified xsi:type="dcterms:W3CDTF">2026-04-11T15:36:00Z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2026-04-11T00:00:00Z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D:20220114130501</vt:lpwstr>
  </property>
  <property fmtid="{D5CDD505-2E9C-101B-9397-08002B2CF9AE}" pid="7" name="_NewReviewCycle">
    <vt:lpwstr/>
  </property>
</Properties>
</file>