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784D" w14:textId="77777777" w:rsidR="00D511C0" w:rsidRDefault="00000000">
      <w:pPr>
        <w:ind w:left="3788"/>
        <w:rPr>
          <w:sz w:val="20"/>
        </w:rPr>
      </w:pPr>
      <w:r>
        <w:rPr>
          <w:noProof/>
          <w:sz w:val="20"/>
        </w:rPr>
        <w:drawing>
          <wp:inline distT="0" distB="0" distL="0" distR="0" wp14:anchorId="52A6B0A1" wp14:editId="6932DDC8">
            <wp:extent cx="2053514" cy="367574"/>
            <wp:effectExtent l="0" t="0" r="4445" b="0"/>
            <wp:docPr id="2" name="Image 2" descr="Purdu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urdue Universit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3514" cy="367574"/>
                    </a:xfrm>
                    <a:prstGeom prst="rect">
                      <a:avLst/>
                    </a:prstGeom>
                  </pic:spPr>
                </pic:pic>
              </a:graphicData>
            </a:graphic>
          </wp:inline>
        </w:drawing>
      </w:r>
    </w:p>
    <w:p w14:paraId="55E5F691" w14:textId="77777777" w:rsidR="00D511C0" w:rsidRDefault="00D511C0">
      <w:pPr>
        <w:pStyle w:val="BodyText"/>
        <w:spacing w:before="71"/>
      </w:pPr>
    </w:p>
    <w:p w14:paraId="7230F549" w14:textId="77777777" w:rsidR="00D511C0" w:rsidRDefault="00000000">
      <w:pPr>
        <w:pStyle w:val="Heading1"/>
      </w:pPr>
      <w:r>
        <w:t>Retirement</w:t>
      </w:r>
      <w:r>
        <w:rPr>
          <w:spacing w:val="-12"/>
        </w:rPr>
        <w:t xml:space="preserve"> </w:t>
      </w:r>
      <w:r>
        <w:t>Plan</w:t>
      </w:r>
      <w:r>
        <w:rPr>
          <w:spacing w:val="-11"/>
        </w:rPr>
        <w:t xml:space="preserve"> </w:t>
      </w:r>
      <w:r>
        <w:t>Committee</w:t>
      </w:r>
      <w:r>
        <w:rPr>
          <w:spacing w:val="-13"/>
        </w:rPr>
        <w:t xml:space="preserve"> </w:t>
      </w:r>
      <w:r>
        <w:t>Minutes April 13, 2020</w:t>
      </w:r>
    </w:p>
    <w:p w14:paraId="5B3EDED7" w14:textId="77777777" w:rsidR="00D511C0" w:rsidRDefault="00000000">
      <w:pPr>
        <w:spacing w:line="293" w:lineRule="exact"/>
        <w:ind w:left="3366" w:right="3007"/>
        <w:jc w:val="center"/>
        <w:rPr>
          <w:rFonts w:ascii="Calibri"/>
          <w:b/>
          <w:sz w:val="24"/>
        </w:rPr>
      </w:pPr>
      <w:r>
        <w:rPr>
          <w:rFonts w:ascii="Calibri"/>
          <w:b/>
          <w:sz w:val="24"/>
        </w:rPr>
        <w:t>1-3</w:t>
      </w:r>
      <w:r>
        <w:rPr>
          <w:rFonts w:ascii="Calibri"/>
          <w:b/>
          <w:spacing w:val="-1"/>
          <w:sz w:val="24"/>
        </w:rPr>
        <w:t xml:space="preserve"> </w:t>
      </w:r>
      <w:r>
        <w:rPr>
          <w:rFonts w:ascii="Calibri"/>
          <w:b/>
          <w:spacing w:val="-4"/>
          <w:sz w:val="24"/>
        </w:rPr>
        <w:t>p.m.</w:t>
      </w:r>
    </w:p>
    <w:p w14:paraId="15F7B88C" w14:textId="77777777" w:rsidR="00D511C0" w:rsidRDefault="00000000">
      <w:pPr>
        <w:pStyle w:val="Heading2"/>
      </w:pPr>
      <w:r>
        <w:t>via Webex due</w:t>
      </w:r>
      <w:r>
        <w:rPr>
          <w:spacing w:val="-3"/>
        </w:rPr>
        <w:t xml:space="preserve"> </w:t>
      </w:r>
      <w:r>
        <w:t>to</w:t>
      </w:r>
      <w:r>
        <w:rPr>
          <w:spacing w:val="-1"/>
        </w:rPr>
        <w:t xml:space="preserve"> </w:t>
      </w:r>
      <w:r>
        <w:rPr>
          <w:spacing w:val="-2"/>
        </w:rPr>
        <w:t>coronavirus</w:t>
      </w:r>
    </w:p>
    <w:p w14:paraId="5B6F8F8D" w14:textId="77777777" w:rsidR="00D511C0" w:rsidRDefault="00D511C0">
      <w:pPr>
        <w:pStyle w:val="BodyText"/>
        <w:rPr>
          <w:rFonts w:ascii="Calibri"/>
          <w:b/>
          <w:i/>
        </w:rPr>
      </w:pPr>
    </w:p>
    <w:p w14:paraId="61E2F301" w14:textId="77777777" w:rsidR="00D511C0" w:rsidRDefault="00D511C0">
      <w:pPr>
        <w:pStyle w:val="BodyText"/>
        <w:spacing w:before="215"/>
        <w:rPr>
          <w:rFonts w:ascii="Calibri"/>
          <w:b/>
          <w:i/>
        </w:rPr>
      </w:pPr>
    </w:p>
    <w:p w14:paraId="5A9164F3" w14:textId="77777777" w:rsidR="00D511C0" w:rsidRDefault="00000000">
      <w:pPr>
        <w:ind w:left="360" w:right="694"/>
      </w:pPr>
      <w:r>
        <w:rPr>
          <w:u w:val="single"/>
        </w:rPr>
        <w:t>Present:</w:t>
      </w:r>
      <w:r>
        <w:rPr>
          <w:spacing w:val="-4"/>
        </w:rPr>
        <w:t xml:space="preserve"> </w:t>
      </w:r>
      <w:r>
        <w:t>Jim</w:t>
      </w:r>
      <w:r>
        <w:rPr>
          <w:spacing w:val="-6"/>
        </w:rPr>
        <w:t xml:space="preserve"> </w:t>
      </w:r>
      <w:r>
        <w:t>Almond,</w:t>
      </w:r>
      <w:r>
        <w:rPr>
          <w:spacing w:val="-2"/>
        </w:rPr>
        <w:t xml:space="preserve"> </w:t>
      </w:r>
      <w:r>
        <w:t>Bill</w:t>
      </w:r>
      <w:r>
        <w:rPr>
          <w:spacing w:val="-6"/>
        </w:rPr>
        <w:t xml:space="preserve"> </w:t>
      </w:r>
      <w:r>
        <w:t>Bell,</w:t>
      </w:r>
      <w:r>
        <w:rPr>
          <w:spacing w:val="-2"/>
        </w:rPr>
        <w:t xml:space="preserve"> </w:t>
      </w:r>
      <w:r>
        <w:t>Fred</w:t>
      </w:r>
      <w:r>
        <w:rPr>
          <w:spacing w:val="-2"/>
        </w:rPr>
        <w:t xml:space="preserve"> </w:t>
      </w:r>
      <w:r>
        <w:t>Ford,</w:t>
      </w:r>
      <w:r>
        <w:rPr>
          <w:spacing w:val="-5"/>
        </w:rPr>
        <w:t xml:space="preserve"> </w:t>
      </w:r>
      <w:r>
        <w:t>Janine</w:t>
      </w:r>
      <w:r>
        <w:rPr>
          <w:spacing w:val="-2"/>
        </w:rPr>
        <w:t xml:space="preserve"> </w:t>
      </w:r>
      <w:r>
        <w:t>Gulbranson,</w:t>
      </w:r>
      <w:r>
        <w:rPr>
          <w:spacing w:val="-2"/>
        </w:rPr>
        <w:t xml:space="preserve"> </w:t>
      </w:r>
      <w:r>
        <w:t>David</w:t>
      </w:r>
      <w:r>
        <w:rPr>
          <w:spacing w:val="-5"/>
        </w:rPr>
        <w:t xml:space="preserve"> </w:t>
      </w:r>
      <w:r>
        <w:t>Janes,</w:t>
      </w:r>
      <w:r>
        <w:rPr>
          <w:spacing w:val="-5"/>
        </w:rPr>
        <w:t xml:space="preserve"> </w:t>
      </w:r>
      <w:r>
        <w:t>Ryan</w:t>
      </w:r>
      <w:r>
        <w:rPr>
          <w:spacing w:val="-2"/>
        </w:rPr>
        <w:t xml:space="preserve"> </w:t>
      </w:r>
      <w:r>
        <w:t>Kay,</w:t>
      </w:r>
      <w:r>
        <w:rPr>
          <w:spacing w:val="-2"/>
        </w:rPr>
        <w:t xml:space="preserve"> </w:t>
      </w:r>
      <w:r>
        <w:t>Dean</w:t>
      </w:r>
      <w:r>
        <w:rPr>
          <w:spacing w:val="-2"/>
        </w:rPr>
        <w:t xml:space="preserve"> </w:t>
      </w:r>
      <w:r>
        <w:t>Lingley, Scott Seidle, Candace Shaffer, Blair Webb</w:t>
      </w:r>
    </w:p>
    <w:p w14:paraId="16DA9439" w14:textId="77777777" w:rsidR="00D511C0" w:rsidRDefault="00000000">
      <w:pPr>
        <w:spacing w:before="252"/>
        <w:ind w:left="360"/>
      </w:pPr>
      <w:r>
        <w:rPr>
          <w:u w:val="single"/>
        </w:rPr>
        <w:t>Unable</w:t>
      </w:r>
      <w:r>
        <w:rPr>
          <w:spacing w:val="-6"/>
          <w:u w:val="single"/>
        </w:rPr>
        <w:t xml:space="preserve"> </w:t>
      </w:r>
      <w:r>
        <w:rPr>
          <w:u w:val="single"/>
        </w:rPr>
        <w:t>to</w:t>
      </w:r>
      <w:r>
        <w:rPr>
          <w:spacing w:val="-3"/>
          <w:u w:val="single"/>
        </w:rPr>
        <w:t xml:space="preserve"> </w:t>
      </w:r>
      <w:r>
        <w:rPr>
          <w:u w:val="single"/>
        </w:rPr>
        <w:t>attend</w:t>
      </w:r>
      <w:r>
        <w:t>:</w:t>
      </w:r>
      <w:r>
        <w:rPr>
          <w:spacing w:val="-2"/>
        </w:rPr>
        <w:t xml:space="preserve"> </w:t>
      </w:r>
      <w:r>
        <w:t>Wendy</w:t>
      </w:r>
      <w:r>
        <w:rPr>
          <w:spacing w:val="-6"/>
        </w:rPr>
        <w:t xml:space="preserve"> </w:t>
      </w:r>
      <w:r>
        <w:t>Lafontant,</w:t>
      </w:r>
      <w:r>
        <w:rPr>
          <w:spacing w:val="-3"/>
        </w:rPr>
        <w:t xml:space="preserve"> </w:t>
      </w:r>
      <w:r>
        <w:t>Steve</w:t>
      </w:r>
      <w:r>
        <w:rPr>
          <w:spacing w:val="-3"/>
        </w:rPr>
        <w:t xml:space="preserve"> </w:t>
      </w:r>
      <w:r>
        <w:rPr>
          <w:spacing w:val="-2"/>
        </w:rPr>
        <w:t>Turner</w:t>
      </w:r>
    </w:p>
    <w:p w14:paraId="5A750F4B" w14:textId="77777777" w:rsidR="00D511C0" w:rsidRDefault="00D511C0">
      <w:pPr>
        <w:pStyle w:val="BodyText"/>
      </w:pPr>
    </w:p>
    <w:p w14:paraId="57D8A01D" w14:textId="77777777" w:rsidR="00D511C0" w:rsidRDefault="00D511C0">
      <w:pPr>
        <w:pStyle w:val="BodyText"/>
      </w:pPr>
    </w:p>
    <w:p w14:paraId="2C8359A5" w14:textId="77777777" w:rsidR="00D511C0" w:rsidRDefault="00000000">
      <w:pPr>
        <w:pStyle w:val="BodyText"/>
        <w:ind w:left="359" w:right="694"/>
      </w:pPr>
      <w:r>
        <w:t>This</w:t>
      </w:r>
      <w:r>
        <w:rPr>
          <w:spacing w:val="-3"/>
        </w:rPr>
        <w:t xml:space="preserve"> </w:t>
      </w:r>
      <w:r>
        <w:t>was</w:t>
      </w:r>
      <w:r>
        <w:rPr>
          <w:spacing w:val="-3"/>
        </w:rPr>
        <w:t xml:space="preserve"> </w:t>
      </w:r>
      <w:r>
        <w:t>the</w:t>
      </w:r>
      <w:r>
        <w:rPr>
          <w:spacing w:val="-3"/>
        </w:rPr>
        <w:t xml:space="preserve"> </w:t>
      </w:r>
      <w:r>
        <w:t>regularly</w:t>
      </w:r>
      <w:r>
        <w:rPr>
          <w:spacing w:val="-7"/>
        </w:rPr>
        <w:t xml:space="preserve"> </w:t>
      </w:r>
      <w:r>
        <w:t>scheduled</w:t>
      </w:r>
      <w:r>
        <w:rPr>
          <w:spacing w:val="-3"/>
        </w:rPr>
        <w:t xml:space="preserve"> </w:t>
      </w:r>
      <w:r>
        <w:t>meeting</w:t>
      </w:r>
      <w:r>
        <w:rPr>
          <w:spacing w:val="-5"/>
        </w:rPr>
        <w:t xml:space="preserve"> </w:t>
      </w:r>
      <w:r>
        <w:t>of</w:t>
      </w:r>
      <w:r>
        <w:rPr>
          <w:spacing w:val="-3"/>
        </w:rPr>
        <w:t xml:space="preserve"> </w:t>
      </w:r>
      <w:r>
        <w:t>the</w:t>
      </w:r>
      <w:r>
        <w:rPr>
          <w:spacing w:val="-3"/>
        </w:rPr>
        <w:t xml:space="preserve"> </w:t>
      </w:r>
      <w:r>
        <w:t>Retirement</w:t>
      </w:r>
      <w:r>
        <w:rPr>
          <w:spacing w:val="-3"/>
        </w:rPr>
        <w:t xml:space="preserve"> </w:t>
      </w:r>
      <w:r>
        <w:t>Plan</w:t>
      </w:r>
      <w:r>
        <w:rPr>
          <w:spacing w:val="-3"/>
        </w:rPr>
        <w:t xml:space="preserve"> </w:t>
      </w:r>
      <w:r>
        <w:t>Committee</w:t>
      </w:r>
      <w:r>
        <w:rPr>
          <w:spacing w:val="-3"/>
        </w:rPr>
        <w:t xml:space="preserve"> </w:t>
      </w:r>
      <w:r>
        <w:t>for</w:t>
      </w:r>
      <w:r>
        <w:rPr>
          <w:spacing w:val="-3"/>
        </w:rPr>
        <w:t xml:space="preserve"> </w:t>
      </w:r>
      <w:r>
        <w:t>the</w:t>
      </w:r>
      <w:r>
        <w:rPr>
          <w:spacing w:val="-3"/>
        </w:rPr>
        <w:t xml:space="preserve"> </w:t>
      </w:r>
      <w:r>
        <w:t>Defined Contribution Plans of Purdue University.</w:t>
      </w:r>
    </w:p>
    <w:p w14:paraId="4612D201" w14:textId="77777777" w:rsidR="00D511C0" w:rsidRDefault="00D511C0">
      <w:pPr>
        <w:pStyle w:val="BodyText"/>
      </w:pPr>
    </w:p>
    <w:p w14:paraId="5B0F39A4" w14:textId="77777777" w:rsidR="00D511C0" w:rsidRDefault="00000000">
      <w:pPr>
        <w:pStyle w:val="BodyText"/>
        <w:ind w:left="360"/>
      </w:pPr>
      <w:r>
        <w:t>Mr.</w:t>
      </w:r>
      <w:r>
        <w:rPr>
          <w:spacing w:val="-3"/>
        </w:rPr>
        <w:t xml:space="preserve"> </w:t>
      </w:r>
      <w:r>
        <w:t>Almond</w:t>
      </w:r>
      <w:r>
        <w:rPr>
          <w:spacing w:val="-3"/>
        </w:rPr>
        <w:t xml:space="preserve"> </w:t>
      </w:r>
      <w:r>
        <w:t>welcomed</w:t>
      </w:r>
      <w:r>
        <w:rPr>
          <w:spacing w:val="-3"/>
        </w:rPr>
        <w:t xml:space="preserve"> </w:t>
      </w:r>
      <w:r>
        <w:t>committee</w:t>
      </w:r>
      <w:r>
        <w:rPr>
          <w:spacing w:val="-4"/>
        </w:rPr>
        <w:t xml:space="preserve"> </w:t>
      </w:r>
      <w:r>
        <w:t>members</w:t>
      </w:r>
      <w:r>
        <w:rPr>
          <w:spacing w:val="-3"/>
        </w:rPr>
        <w:t xml:space="preserve"> </w:t>
      </w:r>
      <w:r>
        <w:t>to</w:t>
      </w:r>
      <w:r>
        <w:rPr>
          <w:spacing w:val="-3"/>
        </w:rPr>
        <w:t xml:space="preserve"> </w:t>
      </w:r>
      <w:r>
        <w:t>the</w:t>
      </w:r>
      <w:r>
        <w:rPr>
          <w:spacing w:val="-4"/>
        </w:rPr>
        <w:t xml:space="preserve"> </w:t>
      </w:r>
      <w:r>
        <w:t>meeting</w:t>
      </w:r>
      <w:r>
        <w:rPr>
          <w:spacing w:val="-3"/>
        </w:rPr>
        <w:t xml:space="preserve"> </w:t>
      </w:r>
      <w:r>
        <w:t>and</w:t>
      </w:r>
      <w:r>
        <w:rPr>
          <w:spacing w:val="-3"/>
        </w:rPr>
        <w:t xml:space="preserve"> </w:t>
      </w:r>
      <w:r>
        <w:t>took</w:t>
      </w:r>
      <w:r>
        <w:rPr>
          <w:spacing w:val="-3"/>
        </w:rPr>
        <w:t xml:space="preserve"> </w:t>
      </w:r>
      <w:r>
        <w:t>a</w:t>
      </w:r>
      <w:r>
        <w:rPr>
          <w:spacing w:val="-4"/>
        </w:rPr>
        <w:t xml:space="preserve"> </w:t>
      </w:r>
      <w:proofErr w:type="gramStart"/>
      <w:r>
        <w:t>rollcall</w:t>
      </w:r>
      <w:proofErr w:type="gramEnd"/>
      <w:r>
        <w:t>.</w:t>
      </w:r>
      <w:r>
        <w:rPr>
          <w:spacing w:val="-3"/>
        </w:rPr>
        <w:t xml:space="preserve"> </w:t>
      </w:r>
      <w:r>
        <w:t>Mr.</w:t>
      </w:r>
      <w:r>
        <w:rPr>
          <w:spacing w:val="-3"/>
        </w:rPr>
        <w:t xml:space="preserve"> </w:t>
      </w:r>
      <w:r>
        <w:t>Almond</w:t>
      </w:r>
      <w:r>
        <w:rPr>
          <w:spacing w:val="-3"/>
        </w:rPr>
        <w:t xml:space="preserve"> </w:t>
      </w:r>
      <w:r>
        <w:t>then</w:t>
      </w:r>
      <w:r>
        <w:rPr>
          <w:spacing w:val="-3"/>
        </w:rPr>
        <w:t xml:space="preserve"> </w:t>
      </w:r>
      <w:r>
        <w:t>briefly reviewed the agenda.</w:t>
      </w:r>
    </w:p>
    <w:p w14:paraId="72233B24" w14:textId="77777777" w:rsidR="00D511C0" w:rsidRDefault="00D511C0">
      <w:pPr>
        <w:pStyle w:val="BodyText"/>
      </w:pPr>
    </w:p>
    <w:p w14:paraId="4CA0C9DD" w14:textId="77777777" w:rsidR="00D511C0" w:rsidRDefault="00000000">
      <w:pPr>
        <w:pStyle w:val="BodyText"/>
        <w:ind w:left="360"/>
      </w:pPr>
      <w:r>
        <w:t>The</w:t>
      </w:r>
      <w:r>
        <w:rPr>
          <w:spacing w:val="-5"/>
        </w:rPr>
        <w:t xml:space="preserve"> </w:t>
      </w:r>
      <w:r>
        <w:t>Committee</w:t>
      </w:r>
      <w:r>
        <w:rPr>
          <w:spacing w:val="-2"/>
        </w:rPr>
        <w:t xml:space="preserve"> </w:t>
      </w:r>
      <w:r>
        <w:t>reviewed and</w:t>
      </w:r>
      <w:r>
        <w:rPr>
          <w:spacing w:val="-1"/>
        </w:rPr>
        <w:t xml:space="preserve"> </w:t>
      </w:r>
      <w:r>
        <w:t>approved the</w:t>
      </w:r>
      <w:r>
        <w:rPr>
          <w:spacing w:val="-2"/>
        </w:rPr>
        <w:t xml:space="preserve"> </w:t>
      </w:r>
      <w:r>
        <w:t>November</w:t>
      </w:r>
      <w:r>
        <w:rPr>
          <w:spacing w:val="-3"/>
        </w:rPr>
        <w:t xml:space="preserve"> </w:t>
      </w:r>
      <w:r>
        <w:t>19,</w:t>
      </w:r>
      <w:r>
        <w:rPr>
          <w:spacing w:val="-1"/>
        </w:rPr>
        <w:t xml:space="preserve"> </w:t>
      </w:r>
      <w:r>
        <w:t>2019,</w:t>
      </w:r>
      <w:r>
        <w:rPr>
          <w:spacing w:val="-1"/>
        </w:rPr>
        <w:t xml:space="preserve"> </w:t>
      </w:r>
      <w:r>
        <w:rPr>
          <w:spacing w:val="-2"/>
        </w:rPr>
        <w:t>minutes.</w:t>
      </w:r>
    </w:p>
    <w:p w14:paraId="4F6D11CE" w14:textId="77777777" w:rsidR="00D511C0" w:rsidRDefault="00D511C0">
      <w:pPr>
        <w:pStyle w:val="BodyText"/>
      </w:pPr>
    </w:p>
    <w:p w14:paraId="2650E29B" w14:textId="77777777" w:rsidR="00D511C0" w:rsidRDefault="00000000">
      <w:pPr>
        <w:pStyle w:val="BodyText"/>
        <w:ind w:left="360"/>
      </w:pPr>
      <w:r>
        <w:t>Ms. Gulbranson provided the HR update on outreach and communication efforts, which included targeted workshops presented by Fidelity and programs for America Saves Week and Road to Retirement. Events and information are communicated through Purdue Today, the Healthy Boiler Newsletter</w:t>
      </w:r>
      <w:r>
        <w:rPr>
          <w:spacing w:val="-2"/>
        </w:rPr>
        <w:t xml:space="preserve"> </w:t>
      </w:r>
      <w:r>
        <w:t>and</w:t>
      </w:r>
      <w:r>
        <w:rPr>
          <w:spacing w:val="-3"/>
        </w:rPr>
        <w:t xml:space="preserve"> </w:t>
      </w:r>
      <w:r>
        <w:t>on</w:t>
      </w:r>
      <w:r>
        <w:rPr>
          <w:spacing w:val="-3"/>
        </w:rPr>
        <w:t xml:space="preserve"> </w:t>
      </w:r>
      <w:r>
        <w:t>the</w:t>
      </w:r>
      <w:r>
        <w:rPr>
          <w:spacing w:val="-4"/>
        </w:rPr>
        <w:t xml:space="preserve"> </w:t>
      </w:r>
      <w:r>
        <w:t>Purdue</w:t>
      </w:r>
      <w:r>
        <w:rPr>
          <w:spacing w:val="-4"/>
        </w:rPr>
        <w:t xml:space="preserve"> </w:t>
      </w:r>
      <w:r>
        <w:t>Benefits</w:t>
      </w:r>
      <w:r>
        <w:rPr>
          <w:spacing w:val="-3"/>
        </w:rPr>
        <w:t xml:space="preserve"> </w:t>
      </w:r>
      <w:r>
        <w:t>website.</w:t>
      </w:r>
      <w:r>
        <w:rPr>
          <w:spacing w:val="-3"/>
        </w:rPr>
        <w:t xml:space="preserve"> </w:t>
      </w:r>
      <w:r>
        <w:t>She</w:t>
      </w:r>
      <w:r>
        <w:rPr>
          <w:spacing w:val="-4"/>
        </w:rPr>
        <w:t xml:space="preserve"> </w:t>
      </w:r>
      <w:r>
        <w:t>also</w:t>
      </w:r>
      <w:r>
        <w:rPr>
          <w:spacing w:val="-3"/>
        </w:rPr>
        <w:t xml:space="preserve"> </w:t>
      </w:r>
      <w:r>
        <w:t>updated</w:t>
      </w:r>
      <w:r>
        <w:rPr>
          <w:spacing w:val="-3"/>
        </w:rPr>
        <w:t xml:space="preserve"> </w:t>
      </w:r>
      <w:r>
        <w:t>the</w:t>
      </w:r>
      <w:r>
        <w:rPr>
          <w:spacing w:val="-2"/>
        </w:rPr>
        <w:t xml:space="preserve"> </w:t>
      </w:r>
      <w:r>
        <w:t>committee</w:t>
      </w:r>
      <w:r>
        <w:rPr>
          <w:spacing w:val="-4"/>
        </w:rPr>
        <w:t xml:space="preserve"> </w:t>
      </w:r>
      <w:r>
        <w:t>on</w:t>
      </w:r>
      <w:r>
        <w:rPr>
          <w:spacing w:val="-3"/>
        </w:rPr>
        <w:t xml:space="preserve"> </w:t>
      </w:r>
      <w:r>
        <w:t>the</w:t>
      </w:r>
      <w:r>
        <w:rPr>
          <w:spacing w:val="-4"/>
        </w:rPr>
        <w:t xml:space="preserve"> </w:t>
      </w:r>
      <w:r>
        <w:t>lease</w:t>
      </w:r>
      <w:r>
        <w:rPr>
          <w:spacing w:val="-2"/>
        </w:rPr>
        <w:t xml:space="preserve"> </w:t>
      </w:r>
      <w:r>
        <w:t>renewal</w:t>
      </w:r>
      <w:r>
        <w:rPr>
          <w:spacing w:val="-1"/>
        </w:rPr>
        <w:t xml:space="preserve"> </w:t>
      </w:r>
      <w:r>
        <w:t>for the local Fidelity office, indicating Fidelity continues to evaluate resources and staff alignments to determine their next steps.</w:t>
      </w:r>
    </w:p>
    <w:p w14:paraId="081214D3" w14:textId="77777777" w:rsidR="00D511C0" w:rsidRDefault="00D511C0">
      <w:pPr>
        <w:pStyle w:val="BodyText"/>
      </w:pPr>
    </w:p>
    <w:p w14:paraId="38B5A530" w14:textId="77777777" w:rsidR="00D511C0" w:rsidRDefault="00000000">
      <w:pPr>
        <w:pStyle w:val="BodyText"/>
        <w:ind w:left="360" w:right="23"/>
      </w:pPr>
      <w:r>
        <w:rPr>
          <w:noProof/>
        </w:rPr>
        <mc:AlternateContent>
          <mc:Choice Requires="wps">
            <w:drawing>
              <wp:anchor distT="0" distB="0" distL="0" distR="0" simplePos="0" relativeHeight="487553536" behindDoc="1" locked="0" layoutInCell="1" allowOverlap="1" wp14:anchorId="39CD862E" wp14:editId="1CA15F71">
                <wp:simplePos x="0" y="0"/>
                <wp:positionH relativeFrom="page">
                  <wp:posOffset>1277111</wp:posOffset>
                </wp:positionH>
                <wp:positionV relativeFrom="paragraph">
                  <wp:posOffset>804097</wp:posOffset>
                </wp:positionV>
                <wp:extent cx="508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19"/>
                              </a:lnTo>
                              <a:lnTo>
                                <a:pt x="50291" y="761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48C9F" id="Graphic 3" o:spid="_x0000_s1026" style="position:absolute;margin-left:100.55pt;margin-top:63.3pt;width:4pt;height:.6pt;z-index:-15762944;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" path="m50291,l,,,7619r50291,l50291,xe" fillcolor="black" stroked="f">
                <v:path arrowok="t"/>
                <w10:wrap anchorx="page"/>
              </v:shape>
            </w:pict>
          </mc:Fallback>
        </mc:AlternateContent>
      </w:r>
      <w:r>
        <w:rPr>
          <w:noProof/>
        </w:rPr>
        <mc:AlternateContent>
          <mc:Choice Requires="wps">
            <w:drawing>
              <wp:anchor distT="0" distB="0" distL="0" distR="0" simplePos="0" relativeHeight="487554048" behindDoc="1" locked="0" layoutInCell="1" allowOverlap="1" wp14:anchorId="75D72586" wp14:editId="59C77DB7">
                <wp:simplePos x="0" y="0"/>
                <wp:positionH relativeFrom="page">
                  <wp:posOffset>2593848</wp:posOffset>
                </wp:positionH>
                <wp:positionV relativeFrom="paragraph">
                  <wp:posOffset>804097</wp:posOffset>
                </wp:positionV>
                <wp:extent cx="508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2" y="0"/>
                              </a:moveTo>
                              <a:lnTo>
                                <a:pt x="0" y="0"/>
                              </a:lnTo>
                              <a:lnTo>
                                <a:pt x="0" y="7619"/>
                              </a:lnTo>
                              <a:lnTo>
                                <a:pt x="50292" y="7619"/>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45729" id="Graphic 4" o:spid="_x0000_s1026" style="position:absolute;margin-left:204.25pt;margin-top:63.3pt;width:4pt;height:.6pt;z-index:-15762432;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" path="m50292,l,,,7619r50292,l50292,xe" fillcolor="black" stroked="f">
                <v:path arrowok="t"/>
                <w10:wrap anchorx="page"/>
              </v:shape>
            </w:pict>
          </mc:Fallback>
        </mc:AlternateContent>
      </w:r>
      <w:r>
        <w:t>Ms.</w:t>
      </w:r>
      <w:r>
        <w:rPr>
          <w:spacing w:val="-2"/>
        </w:rPr>
        <w:t xml:space="preserve"> </w:t>
      </w:r>
      <w:r>
        <w:t>Gulbranson</w:t>
      </w:r>
      <w:r>
        <w:rPr>
          <w:spacing w:val="-2"/>
        </w:rPr>
        <w:t xml:space="preserve"> </w:t>
      </w:r>
      <w:r>
        <w:t>provided</w:t>
      </w:r>
      <w:r>
        <w:rPr>
          <w:spacing w:val="-2"/>
        </w:rPr>
        <w:t xml:space="preserve"> </w:t>
      </w:r>
      <w:r>
        <w:t>a</w:t>
      </w:r>
      <w:r>
        <w:rPr>
          <w:spacing w:val="-2"/>
        </w:rPr>
        <w:t xml:space="preserve"> </w:t>
      </w:r>
      <w:r>
        <w:t>summary</w:t>
      </w:r>
      <w:r>
        <w:rPr>
          <w:spacing w:val="-6"/>
        </w:rPr>
        <w:t xml:space="preserve"> </w:t>
      </w:r>
      <w:r>
        <w:t>of</w:t>
      </w:r>
      <w:r>
        <w:rPr>
          <w:spacing w:val="-2"/>
        </w:rPr>
        <w:t xml:space="preserve"> </w:t>
      </w:r>
      <w:r>
        <w:t>the</w:t>
      </w:r>
      <w:r>
        <w:rPr>
          <w:spacing w:val="-2"/>
        </w:rPr>
        <w:t xml:space="preserve"> </w:t>
      </w:r>
      <w:r>
        <w:t>SECURE</w:t>
      </w:r>
      <w:r>
        <w:rPr>
          <w:spacing w:val="-2"/>
        </w:rPr>
        <w:t xml:space="preserve"> </w:t>
      </w:r>
      <w:r>
        <w:t>Act</w:t>
      </w:r>
      <w:r>
        <w:rPr>
          <w:spacing w:val="-2"/>
        </w:rPr>
        <w:t xml:space="preserve"> </w:t>
      </w:r>
      <w:r>
        <w:t>(Setting</w:t>
      </w:r>
      <w:r>
        <w:rPr>
          <w:spacing w:val="-4"/>
        </w:rPr>
        <w:t xml:space="preserve"> </w:t>
      </w:r>
      <w:r>
        <w:t>Every</w:t>
      </w:r>
      <w:r>
        <w:rPr>
          <w:spacing w:val="-4"/>
        </w:rPr>
        <w:t xml:space="preserve"> </w:t>
      </w:r>
      <w:r>
        <w:t>Community</w:t>
      </w:r>
      <w:r>
        <w:rPr>
          <w:spacing w:val="-9"/>
        </w:rPr>
        <w:t xml:space="preserve"> </w:t>
      </w:r>
      <w:r>
        <w:t>Up</w:t>
      </w:r>
      <w:r>
        <w:rPr>
          <w:spacing w:val="-2"/>
        </w:rPr>
        <w:t xml:space="preserve"> </w:t>
      </w:r>
      <w:r>
        <w:t>for</w:t>
      </w:r>
      <w:r>
        <w:rPr>
          <w:spacing w:val="-2"/>
        </w:rPr>
        <w:t xml:space="preserve"> </w:t>
      </w:r>
      <w:r>
        <w:t xml:space="preserve">Retirement Enhancement). </w:t>
      </w:r>
      <w:proofErr w:type="gramStart"/>
      <w:r>
        <w:t>A couple mandatory requirement</w:t>
      </w:r>
      <w:proofErr w:type="gramEnd"/>
      <w:r>
        <w:t xml:space="preserve"> </w:t>
      </w:r>
      <w:proofErr w:type="gramStart"/>
      <w:r>
        <w:t>are</w:t>
      </w:r>
      <w:proofErr w:type="gramEnd"/>
      <w:r>
        <w:t>: (1) change the minimum distribution age from</w:t>
      </w:r>
      <w:r>
        <w:rPr>
          <w:spacing w:val="40"/>
        </w:rPr>
        <w:t xml:space="preserve"> </w:t>
      </w:r>
      <w:r>
        <w:t>70½ to 72 and (2) beneficiaries must receive their distributions within 10 years. Fidelity</w:t>
      </w:r>
      <w:r>
        <w:rPr>
          <w:spacing w:val="-1"/>
        </w:rPr>
        <w:t xml:space="preserve"> </w:t>
      </w:r>
      <w:r>
        <w:t>will administer these</w:t>
      </w:r>
      <w:r>
        <w:rPr>
          <w:spacing w:val="-1"/>
        </w:rPr>
        <w:t xml:space="preserve"> </w:t>
      </w:r>
      <w:r>
        <w:t>changes through their</w:t>
      </w:r>
      <w:r>
        <w:rPr>
          <w:spacing w:val="-1"/>
        </w:rPr>
        <w:t xml:space="preserve"> </w:t>
      </w:r>
      <w:r>
        <w:t>system platform. An optional change</w:t>
      </w:r>
      <w:r>
        <w:rPr>
          <w:spacing w:val="-1"/>
        </w:rPr>
        <w:t xml:space="preserve"> </w:t>
      </w:r>
      <w:r>
        <w:t>is permitting</w:t>
      </w:r>
      <w:r>
        <w:rPr>
          <w:spacing w:val="-3"/>
        </w:rPr>
        <w:t xml:space="preserve"> </w:t>
      </w:r>
      <w:r>
        <w:t>in-service</w:t>
      </w:r>
      <w:r>
        <w:rPr>
          <w:spacing w:val="-1"/>
        </w:rPr>
        <w:t xml:space="preserve"> </w:t>
      </w:r>
      <w:r>
        <w:t xml:space="preserve">distributions at age 59½, (lowered from age 62) for pension plans and age 70½ for governmental 457(b) plans. HR continues to evaluate </w:t>
      </w:r>
      <w:proofErr w:type="gramStart"/>
      <w:r>
        <w:t>these and</w:t>
      </w:r>
      <w:proofErr w:type="gramEnd"/>
      <w:r>
        <w:t xml:space="preserve"> additional changes to determine how they might affect the University’s retirement programs. The deadline for plan amendments (as needed) is December 31, 2024.</w:t>
      </w:r>
    </w:p>
    <w:p w14:paraId="2B8F07AB" w14:textId="77777777" w:rsidR="00D511C0" w:rsidRDefault="00D511C0">
      <w:pPr>
        <w:pStyle w:val="BodyText"/>
      </w:pPr>
    </w:p>
    <w:p w14:paraId="2925EDCF" w14:textId="77777777" w:rsidR="00D511C0" w:rsidRDefault="00000000">
      <w:pPr>
        <w:pStyle w:val="BodyText"/>
        <w:spacing w:before="1"/>
        <w:ind w:left="359" w:right="29"/>
      </w:pPr>
      <w:r>
        <w:t>The Coronavirus Aid, Relief, and Economic Security (CARES) Act was also presented by Ms. Gulbranson and is being evaluated by the University’s HR department. This act, signed into law in March 2020, provides emergency relief aimed to assist business, individuals and hospitals during the period of public health emergency due to the 2019 Novel Coronavirus (COVID-19). The legislation enables</w:t>
      </w:r>
      <w:r>
        <w:rPr>
          <w:spacing w:val="-3"/>
        </w:rPr>
        <w:t xml:space="preserve"> </w:t>
      </w:r>
      <w:r>
        <w:t>retirement</w:t>
      </w:r>
      <w:r>
        <w:rPr>
          <w:spacing w:val="-3"/>
        </w:rPr>
        <w:t xml:space="preserve"> </w:t>
      </w:r>
      <w:r>
        <w:t>plan</w:t>
      </w:r>
      <w:r>
        <w:rPr>
          <w:spacing w:val="-3"/>
        </w:rPr>
        <w:t xml:space="preserve"> </w:t>
      </w:r>
      <w:r>
        <w:t>changes</w:t>
      </w:r>
      <w:r>
        <w:rPr>
          <w:spacing w:val="-3"/>
        </w:rPr>
        <w:t xml:space="preserve"> </w:t>
      </w:r>
      <w:r>
        <w:t>related</w:t>
      </w:r>
      <w:r>
        <w:rPr>
          <w:spacing w:val="-3"/>
        </w:rPr>
        <w:t xml:space="preserve"> </w:t>
      </w:r>
      <w:r>
        <w:t>to</w:t>
      </w:r>
      <w:r>
        <w:rPr>
          <w:spacing w:val="-3"/>
        </w:rPr>
        <w:t xml:space="preserve"> </w:t>
      </w:r>
      <w:r>
        <w:t>early</w:t>
      </w:r>
      <w:r>
        <w:rPr>
          <w:spacing w:val="-8"/>
        </w:rPr>
        <w:t xml:space="preserve"> </w:t>
      </w:r>
      <w:r>
        <w:t>plan</w:t>
      </w:r>
      <w:r>
        <w:rPr>
          <w:spacing w:val="-3"/>
        </w:rPr>
        <w:t xml:space="preserve"> </w:t>
      </w:r>
      <w:r>
        <w:t>withdrawals,</w:t>
      </w:r>
      <w:r>
        <w:rPr>
          <w:spacing w:val="-1"/>
        </w:rPr>
        <w:t xml:space="preserve"> </w:t>
      </w:r>
      <w:r>
        <w:t>enhanced</w:t>
      </w:r>
      <w:r>
        <w:rPr>
          <w:spacing w:val="-3"/>
        </w:rPr>
        <w:t xml:space="preserve"> </w:t>
      </w:r>
      <w:r>
        <w:t>plan</w:t>
      </w:r>
      <w:r>
        <w:rPr>
          <w:spacing w:val="-3"/>
        </w:rPr>
        <w:t xml:space="preserve"> </w:t>
      </w:r>
      <w:r>
        <w:t>loans</w:t>
      </w:r>
      <w:r>
        <w:rPr>
          <w:spacing w:val="-3"/>
        </w:rPr>
        <w:t xml:space="preserve"> </w:t>
      </w:r>
      <w:r>
        <w:t>provisions</w:t>
      </w:r>
      <w:r>
        <w:rPr>
          <w:spacing w:val="-3"/>
        </w:rPr>
        <w:t xml:space="preserve"> </w:t>
      </w:r>
      <w:r>
        <w:t xml:space="preserve">and waives required minimum distribution (RMD) for defined contribution 401(a), 403(b), governmental 457(b) plans, and </w:t>
      </w:r>
      <w:proofErr w:type="gramStart"/>
      <w:r>
        <w:t>IRA’s</w:t>
      </w:r>
      <w:proofErr w:type="gramEnd"/>
      <w:r>
        <w:t xml:space="preserve"> for calendar year 2020. This also has a deadline of December 31, </w:t>
      </w:r>
      <w:proofErr w:type="gramStart"/>
      <w:r>
        <w:t>2024</w:t>
      </w:r>
      <w:proofErr w:type="gramEnd"/>
      <w:r>
        <w:t xml:space="preserve"> for necessary plan amendments.</w:t>
      </w:r>
    </w:p>
    <w:p w14:paraId="2F20EB01" w14:textId="77777777" w:rsidR="00D511C0" w:rsidRDefault="00D511C0">
      <w:pPr>
        <w:pStyle w:val="BodyText"/>
        <w:sectPr w:rsidR="00D511C0">
          <w:footerReference w:type="default" r:id="rId7"/>
          <w:type w:val="continuous"/>
          <w:pgSz w:w="12240" w:h="15840"/>
          <w:pgMar w:top="1060" w:right="1080" w:bottom="800" w:left="720" w:header="0" w:footer="609" w:gutter="0"/>
          <w:pgNumType w:start="1"/>
          <w:cols w:space="720"/>
        </w:sectPr>
      </w:pPr>
    </w:p>
    <w:p w14:paraId="1CE43FCF" w14:textId="77777777" w:rsidR="00D511C0" w:rsidRDefault="00000000">
      <w:pPr>
        <w:pStyle w:val="BodyText"/>
        <w:spacing w:before="63"/>
        <w:ind w:left="360" w:right="29"/>
      </w:pPr>
      <w:r>
        <w:lastRenderedPageBreak/>
        <w:t>Mr. Webb reviewed three active managers with the committee: Harbor High Yield Bond (HYFAX), MFS Investors Growth Stock (MIGNX) and CRM Small/Mid Cap Value (CRIAX). There were no changes</w:t>
      </w:r>
      <w:r>
        <w:rPr>
          <w:spacing w:val="-2"/>
        </w:rPr>
        <w:t xml:space="preserve"> </w:t>
      </w:r>
      <w:r>
        <w:t>or</w:t>
      </w:r>
      <w:r>
        <w:rPr>
          <w:spacing w:val="-1"/>
        </w:rPr>
        <w:t xml:space="preserve"> </w:t>
      </w:r>
      <w:r>
        <w:t>concerns</w:t>
      </w:r>
      <w:r>
        <w:rPr>
          <w:spacing w:val="-2"/>
        </w:rPr>
        <w:t xml:space="preserve"> </w:t>
      </w:r>
      <w:r>
        <w:t>noted</w:t>
      </w:r>
      <w:r>
        <w:rPr>
          <w:spacing w:val="-2"/>
        </w:rPr>
        <w:t xml:space="preserve"> </w:t>
      </w:r>
      <w:r>
        <w:t>with</w:t>
      </w:r>
      <w:r>
        <w:rPr>
          <w:spacing w:val="-2"/>
        </w:rPr>
        <w:t xml:space="preserve"> </w:t>
      </w:r>
      <w:r>
        <w:t>the</w:t>
      </w:r>
      <w:r>
        <w:rPr>
          <w:spacing w:val="-3"/>
        </w:rPr>
        <w:t xml:space="preserve"> </w:t>
      </w:r>
      <w:proofErr w:type="gramStart"/>
      <w:r>
        <w:t>firms’</w:t>
      </w:r>
      <w:proofErr w:type="gramEnd"/>
      <w:r>
        <w:rPr>
          <w:spacing w:val="-3"/>
        </w:rPr>
        <w:t xml:space="preserve"> </w:t>
      </w:r>
      <w:r>
        <w:t>philosophy</w:t>
      </w:r>
      <w:r>
        <w:rPr>
          <w:spacing w:val="-7"/>
        </w:rPr>
        <w:t xml:space="preserve"> </w:t>
      </w:r>
      <w:r>
        <w:t>or</w:t>
      </w:r>
      <w:r>
        <w:rPr>
          <w:spacing w:val="-1"/>
        </w:rPr>
        <w:t xml:space="preserve"> </w:t>
      </w:r>
      <w:r>
        <w:t>approach</w:t>
      </w:r>
      <w:r>
        <w:rPr>
          <w:spacing w:val="-2"/>
        </w:rPr>
        <w:t xml:space="preserve"> </w:t>
      </w:r>
      <w:r>
        <w:t>as</w:t>
      </w:r>
      <w:r>
        <w:rPr>
          <w:spacing w:val="-2"/>
        </w:rPr>
        <w:t xml:space="preserve"> </w:t>
      </w:r>
      <w:r>
        <w:t>part</w:t>
      </w:r>
      <w:r>
        <w:rPr>
          <w:spacing w:val="-2"/>
        </w:rPr>
        <w:t xml:space="preserve"> </w:t>
      </w:r>
      <w:r>
        <w:t>of</w:t>
      </w:r>
      <w:r>
        <w:rPr>
          <w:spacing w:val="-3"/>
        </w:rPr>
        <w:t xml:space="preserve"> </w:t>
      </w:r>
      <w:r>
        <w:t>the</w:t>
      </w:r>
      <w:r>
        <w:rPr>
          <w:spacing w:val="-3"/>
        </w:rPr>
        <w:t xml:space="preserve"> </w:t>
      </w:r>
      <w:r>
        <w:t>Retirement</w:t>
      </w:r>
      <w:r>
        <w:rPr>
          <w:spacing w:val="-2"/>
        </w:rPr>
        <w:t xml:space="preserve"> </w:t>
      </w:r>
      <w:r>
        <w:t>Plan</w:t>
      </w:r>
      <w:r>
        <w:rPr>
          <w:spacing w:val="-2"/>
        </w:rPr>
        <w:t xml:space="preserve"> </w:t>
      </w:r>
      <w:r>
        <w:t>Tier</w:t>
      </w:r>
      <w:r>
        <w:rPr>
          <w:spacing w:val="-1"/>
        </w:rPr>
        <w:t xml:space="preserve"> </w:t>
      </w:r>
      <w:r>
        <w:t>III platform for active management. Harbor Funds confirmed that the Purdue plan is eligible to participate in a new lower cost retirement share class with savings close to 0.1% per annum. The Benefits office with follow-up with Fidelity to review migrating to the new share class.</w:t>
      </w:r>
    </w:p>
    <w:p w14:paraId="7B70B5BF" w14:textId="77777777" w:rsidR="00D511C0" w:rsidRDefault="00D511C0">
      <w:pPr>
        <w:pStyle w:val="BodyText"/>
      </w:pPr>
    </w:p>
    <w:p w14:paraId="2DF96084" w14:textId="77777777" w:rsidR="00D511C0" w:rsidRDefault="00000000">
      <w:pPr>
        <w:pStyle w:val="BodyText"/>
        <w:ind w:left="359" w:right="80"/>
      </w:pPr>
      <w:r>
        <w:t>Mr. Webb reviewed the retirement plan dashboard as of December 31, 2019, noting there was $2.1 billion</w:t>
      </w:r>
      <w:r>
        <w:rPr>
          <w:spacing w:val="-3"/>
        </w:rPr>
        <w:t xml:space="preserve"> </w:t>
      </w:r>
      <w:r>
        <w:t>invested</w:t>
      </w:r>
      <w:r>
        <w:rPr>
          <w:spacing w:val="-3"/>
        </w:rPr>
        <w:t xml:space="preserve"> </w:t>
      </w:r>
      <w:r>
        <w:t>within</w:t>
      </w:r>
      <w:r>
        <w:rPr>
          <w:spacing w:val="-3"/>
        </w:rPr>
        <w:t xml:space="preserve"> </w:t>
      </w:r>
      <w:r>
        <w:t>the</w:t>
      </w:r>
      <w:r>
        <w:rPr>
          <w:spacing w:val="-4"/>
        </w:rPr>
        <w:t xml:space="preserve"> </w:t>
      </w:r>
      <w:r>
        <w:t>retirement</w:t>
      </w:r>
      <w:r>
        <w:rPr>
          <w:spacing w:val="-3"/>
        </w:rPr>
        <w:t xml:space="preserve"> </w:t>
      </w:r>
      <w:r>
        <w:t>platform’s</w:t>
      </w:r>
      <w:r>
        <w:rPr>
          <w:spacing w:val="-3"/>
        </w:rPr>
        <w:t xml:space="preserve"> </w:t>
      </w:r>
      <w:r>
        <w:t>four-tier</w:t>
      </w:r>
      <w:r>
        <w:rPr>
          <w:spacing w:val="-4"/>
        </w:rPr>
        <w:t xml:space="preserve"> </w:t>
      </w:r>
      <w:r>
        <w:t>structure.</w:t>
      </w:r>
      <w:r>
        <w:rPr>
          <w:spacing w:val="-3"/>
        </w:rPr>
        <w:t xml:space="preserve"> </w:t>
      </w:r>
      <w:r>
        <w:t>Approximately</w:t>
      </w:r>
      <w:r>
        <w:rPr>
          <w:spacing w:val="-10"/>
        </w:rPr>
        <w:t xml:space="preserve"> </w:t>
      </w:r>
      <w:r>
        <w:t>64%</w:t>
      </w:r>
      <w:r>
        <w:rPr>
          <w:spacing w:val="-4"/>
        </w:rPr>
        <w:t xml:space="preserve"> </w:t>
      </w:r>
      <w:r>
        <w:t>of</w:t>
      </w:r>
      <w:r>
        <w:rPr>
          <w:spacing w:val="-4"/>
        </w:rPr>
        <w:t xml:space="preserve"> </w:t>
      </w:r>
      <w:r>
        <w:t>participants invest in Tier 1 target date funds; 14.5% in Tier 2 passive index funds; 16.8% in Tier 3 actively managed</w:t>
      </w:r>
      <w:r>
        <w:rPr>
          <w:spacing w:val="-2"/>
        </w:rPr>
        <w:t xml:space="preserve"> </w:t>
      </w:r>
      <w:r>
        <w:t>funds,</w:t>
      </w:r>
      <w:r>
        <w:rPr>
          <w:spacing w:val="-2"/>
        </w:rPr>
        <w:t xml:space="preserve"> </w:t>
      </w:r>
      <w:r>
        <w:t>including</w:t>
      </w:r>
      <w:r>
        <w:rPr>
          <w:spacing w:val="-5"/>
        </w:rPr>
        <w:t xml:space="preserve"> </w:t>
      </w:r>
      <w:r>
        <w:t>the</w:t>
      </w:r>
      <w:r>
        <w:rPr>
          <w:spacing w:val="-3"/>
        </w:rPr>
        <w:t xml:space="preserve"> </w:t>
      </w:r>
      <w:r>
        <w:t>MetLife</w:t>
      </w:r>
      <w:r>
        <w:rPr>
          <w:spacing w:val="-3"/>
        </w:rPr>
        <w:t xml:space="preserve"> </w:t>
      </w:r>
      <w:r>
        <w:t>Stable</w:t>
      </w:r>
      <w:r>
        <w:rPr>
          <w:spacing w:val="-3"/>
        </w:rPr>
        <w:t xml:space="preserve"> </w:t>
      </w:r>
      <w:r>
        <w:t>Value</w:t>
      </w:r>
      <w:r>
        <w:rPr>
          <w:spacing w:val="-3"/>
        </w:rPr>
        <w:t xml:space="preserve"> </w:t>
      </w:r>
      <w:r>
        <w:t>Option’;</w:t>
      </w:r>
      <w:r>
        <w:rPr>
          <w:spacing w:val="-2"/>
        </w:rPr>
        <w:t xml:space="preserve"> </w:t>
      </w:r>
      <w:r>
        <w:t>and</w:t>
      </w:r>
      <w:r>
        <w:rPr>
          <w:spacing w:val="-2"/>
        </w:rPr>
        <w:t xml:space="preserve"> </w:t>
      </w:r>
      <w:r>
        <w:t>4.7%</w:t>
      </w:r>
      <w:r>
        <w:rPr>
          <w:spacing w:val="-3"/>
        </w:rPr>
        <w:t xml:space="preserve"> </w:t>
      </w:r>
      <w:r>
        <w:t>in Tier</w:t>
      </w:r>
      <w:r>
        <w:rPr>
          <w:spacing w:val="-3"/>
        </w:rPr>
        <w:t xml:space="preserve"> </w:t>
      </w:r>
      <w:r>
        <w:t>4</w:t>
      </w:r>
      <w:r>
        <w:rPr>
          <w:spacing w:val="-2"/>
        </w:rPr>
        <w:t xml:space="preserve"> </w:t>
      </w:r>
      <w:r>
        <w:t>through</w:t>
      </w:r>
      <w:r>
        <w:rPr>
          <w:spacing w:val="-2"/>
        </w:rPr>
        <w:t xml:space="preserve"> </w:t>
      </w:r>
      <w:r>
        <w:t>the</w:t>
      </w:r>
      <w:r>
        <w:rPr>
          <w:spacing w:val="-3"/>
        </w:rPr>
        <w:t xml:space="preserve"> </w:t>
      </w:r>
      <w:r>
        <w:t xml:space="preserve">brokerage window. The dashboard provided included expense ratios, </w:t>
      </w:r>
      <w:proofErr w:type="gramStart"/>
      <w:r>
        <w:t>calendar year-to-date</w:t>
      </w:r>
      <w:proofErr w:type="gramEnd"/>
      <w:r>
        <w:t>, 1, 3 and 5-year performance for the Tier 1, 2 and 3 investment funds. Mr. Webb will distribute the quarterly</w:t>
      </w:r>
      <w:r>
        <w:rPr>
          <w:spacing w:val="-3"/>
        </w:rPr>
        <w:t xml:space="preserve"> </w:t>
      </w:r>
      <w:r>
        <w:t>update as of March 31, 2020, in the next couple of weeks.</w:t>
      </w:r>
    </w:p>
    <w:p w14:paraId="52F872CE" w14:textId="77777777" w:rsidR="00D511C0" w:rsidRDefault="00D511C0">
      <w:pPr>
        <w:pStyle w:val="BodyText"/>
      </w:pPr>
    </w:p>
    <w:p w14:paraId="20593449" w14:textId="77777777" w:rsidR="00D511C0" w:rsidRDefault="00000000">
      <w:pPr>
        <w:pStyle w:val="BodyText"/>
        <w:ind w:left="359"/>
      </w:pPr>
      <w:r>
        <w:t>The next meeting is scheduled for November 16, 2020, from 1-3 p.m. Vanguard will be contacted and asked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3"/>
        </w:rPr>
        <w:t xml:space="preserve"> </w:t>
      </w:r>
      <w:r>
        <w:t>November</w:t>
      </w:r>
      <w:r>
        <w:rPr>
          <w:spacing w:val="-3"/>
        </w:rPr>
        <w:t xml:space="preserve"> </w:t>
      </w:r>
      <w:r>
        <w:t>meeting</w:t>
      </w:r>
      <w:r>
        <w:rPr>
          <w:spacing w:val="-5"/>
        </w:rPr>
        <w:t xml:space="preserve"> </w:t>
      </w:r>
      <w:r>
        <w:t>for</w:t>
      </w:r>
      <w:r>
        <w:rPr>
          <w:spacing w:val="-1"/>
        </w:rPr>
        <w:t xml:space="preserve"> </w:t>
      </w:r>
      <w:r>
        <w:t>a</w:t>
      </w:r>
      <w:r>
        <w:rPr>
          <w:spacing w:val="-3"/>
        </w:rPr>
        <w:t xml:space="preserve"> </w:t>
      </w:r>
      <w:r>
        <w:t>company</w:t>
      </w:r>
      <w:r>
        <w:rPr>
          <w:spacing w:val="-7"/>
        </w:rPr>
        <w:t xml:space="preserve"> </w:t>
      </w:r>
      <w:r>
        <w:t>update</w:t>
      </w:r>
      <w:r>
        <w:rPr>
          <w:spacing w:val="-3"/>
        </w:rPr>
        <w:t xml:space="preserve"> </w:t>
      </w:r>
      <w:r>
        <w:t>and</w:t>
      </w:r>
      <w:r>
        <w:rPr>
          <w:spacing w:val="-2"/>
        </w:rPr>
        <w:t xml:space="preserve"> </w:t>
      </w:r>
      <w:r>
        <w:t>review</w:t>
      </w:r>
      <w:r>
        <w:rPr>
          <w:spacing w:val="-3"/>
        </w:rPr>
        <w:t xml:space="preserve"> </w:t>
      </w:r>
      <w:r>
        <w:t>of</w:t>
      </w:r>
      <w:r>
        <w:rPr>
          <w:spacing w:val="-3"/>
        </w:rPr>
        <w:t xml:space="preserve"> </w:t>
      </w:r>
      <w:r>
        <w:t>target</w:t>
      </w:r>
      <w:r>
        <w:rPr>
          <w:spacing w:val="-2"/>
        </w:rPr>
        <w:t xml:space="preserve"> </w:t>
      </w:r>
      <w:r>
        <w:t>date</w:t>
      </w:r>
      <w:r>
        <w:rPr>
          <w:spacing w:val="-3"/>
        </w:rPr>
        <w:t xml:space="preserve"> </w:t>
      </w:r>
      <w:r>
        <w:t>and</w:t>
      </w:r>
      <w:r>
        <w:rPr>
          <w:spacing w:val="-2"/>
        </w:rPr>
        <w:t xml:space="preserve"> </w:t>
      </w:r>
      <w:r>
        <w:t xml:space="preserve">index </w:t>
      </w:r>
      <w:r>
        <w:rPr>
          <w:spacing w:val="-2"/>
        </w:rPr>
        <w:t>funds.</w:t>
      </w:r>
    </w:p>
    <w:p w14:paraId="19379A21" w14:textId="77777777" w:rsidR="00D511C0" w:rsidRDefault="00D511C0">
      <w:pPr>
        <w:pStyle w:val="BodyText"/>
      </w:pPr>
    </w:p>
    <w:p w14:paraId="0520B404" w14:textId="77777777" w:rsidR="00D511C0" w:rsidRDefault="00000000">
      <w:pPr>
        <w:pStyle w:val="BodyText"/>
        <w:ind w:left="359"/>
      </w:pPr>
      <w:r>
        <w:t>Members</w:t>
      </w:r>
      <w:r>
        <w:rPr>
          <w:spacing w:val="-2"/>
        </w:rPr>
        <w:t xml:space="preserve"> </w:t>
      </w:r>
      <w:r>
        <w:t>with</w:t>
      </w:r>
      <w:r>
        <w:rPr>
          <w:spacing w:val="-1"/>
        </w:rPr>
        <w:t xml:space="preserve"> </w:t>
      </w:r>
      <w:r>
        <w:t>special</w:t>
      </w:r>
      <w:r>
        <w:rPr>
          <w:spacing w:val="-1"/>
        </w:rPr>
        <w:t xml:space="preserve"> </w:t>
      </w:r>
      <w:r>
        <w:t>topics</w:t>
      </w:r>
      <w:r>
        <w:rPr>
          <w:spacing w:val="-1"/>
        </w:rPr>
        <w:t xml:space="preserve"> </w:t>
      </w:r>
      <w:r>
        <w:t>for</w:t>
      </w:r>
      <w:r>
        <w:rPr>
          <w:spacing w:val="-3"/>
        </w:rPr>
        <w:t xml:space="preserve"> </w:t>
      </w:r>
      <w:r>
        <w:t>future meetings</w:t>
      </w:r>
      <w:r>
        <w:rPr>
          <w:spacing w:val="-1"/>
        </w:rPr>
        <w:t xml:space="preserve"> </w:t>
      </w:r>
      <w:r>
        <w:t>should</w:t>
      </w:r>
      <w:r>
        <w:rPr>
          <w:spacing w:val="-1"/>
        </w:rPr>
        <w:t xml:space="preserve"> </w:t>
      </w:r>
      <w:r>
        <w:t>forward</w:t>
      </w:r>
      <w:r>
        <w:rPr>
          <w:spacing w:val="-1"/>
        </w:rPr>
        <w:t xml:space="preserve"> </w:t>
      </w:r>
      <w:r>
        <w:t>the</w:t>
      </w:r>
      <w:r>
        <w:rPr>
          <w:spacing w:val="-3"/>
        </w:rPr>
        <w:t xml:space="preserve"> </w:t>
      </w:r>
      <w:r>
        <w:t>suggested</w:t>
      </w:r>
      <w:r>
        <w:rPr>
          <w:spacing w:val="-1"/>
        </w:rPr>
        <w:t xml:space="preserve"> </w:t>
      </w:r>
      <w:r>
        <w:t>items</w:t>
      </w:r>
      <w:r>
        <w:rPr>
          <w:spacing w:val="-1"/>
        </w:rPr>
        <w:t xml:space="preserve"> </w:t>
      </w:r>
      <w:r>
        <w:t>to</w:t>
      </w:r>
      <w:r>
        <w:rPr>
          <w:spacing w:val="-1"/>
        </w:rPr>
        <w:t xml:space="preserve"> </w:t>
      </w:r>
      <w:r>
        <w:t>Mr.</w:t>
      </w:r>
      <w:r>
        <w:rPr>
          <w:spacing w:val="-1"/>
        </w:rPr>
        <w:t xml:space="preserve"> </w:t>
      </w:r>
      <w:r>
        <w:rPr>
          <w:spacing w:val="-2"/>
        </w:rPr>
        <w:t>Almond.</w:t>
      </w:r>
    </w:p>
    <w:sectPr w:rsidR="00D511C0">
      <w:pgSz w:w="12240" w:h="15840"/>
      <w:pgMar w:top="920" w:right="1080" w:bottom="800" w:left="72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D8D" w14:textId="77777777" w:rsidR="00905868" w:rsidRDefault="00905868">
      <w:r>
        <w:separator/>
      </w:r>
    </w:p>
  </w:endnote>
  <w:endnote w:type="continuationSeparator" w:id="0">
    <w:p w14:paraId="5D245007" w14:textId="77777777" w:rsidR="00905868" w:rsidRDefault="0090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0DD7" w14:textId="77777777" w:rsidR="00D511C0" w:rsidRDefault="00000000">
    <w:pPr>
      <w:pStyle w:val="BodyText"/>
      <w:spacing w:line="14" w:lineRule="auto"/>
      <w:rPr>
        <w:sz w:val="20"/>
      </w:rPr>
    </w:pPr>
    <w:r>
      <w:rPr>
        <w:noProof/>
        <w:sz w:val="20"/>
      </w:rPr>
      <mc:AlternateContent>
        <mc:Choice Requires="wps">
          <w:drawing>
            <wp:anchor distT="0" distB="0" distL="0" distR="0" simplePos="0" relativeHeight="487553536" behindDoc="1" locked="0" layoutInCell="1" allowOverlap="1" wp14:anchorId="23B97C77" wp14:editId="1DE89A54">
              <wp:simplePos x="0" y="0"/>
              <wp:positionH relativeFrom="page">
                <wp:posOffset>5585037</wp:posOffset>
              </wp:positionH>
              <wp:positionV relativeFrom="page">
                <wp:posOffset>9532169</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7F754BB9" w14:textId="77777777" w:rsidR="00D511C0" w:rsidRDefault="00000000">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3B97C77" id="_x0000_t202" coordsize="21600,21600" o:spt="202" path="m,l,21600r21600,l21600,xe">
              <v:stroke joinstyle="miter"/>
              <v:path gradientshapeok="t" o:connecttype="rect"/>
            </v:shapetype>
            <v:shape id="Textbox 1" o:spid="_x0000_s1026" type="#_x0000_t202" style="position:absolute;margin-left:439.75pt;margin-top:750.55pt;width:47.3pt;height:13.0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" filled="f" stroked="f">
              <v:textbox inset="0,0,0,0">
                <w:txbxContent>
                  <w:p w14:paraId="7F754BB9" w14:textId="77777777" w:rsidR="00D511C0" w:rsidRDefault="00000000">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7584" w14:textId="77777777" w:rsidR="00905868" w:rsidRDefault="00905868">
      <w:r>
        <w:separator/>
      </w:r>
    </w:p>
  </w:footnote>
  <w:footnote w:type="continuationSeparator" w:id="0">
    <w:p w14:paraId="41014592" w14:textId="77777777" w:rsidR="00905868" w:rsidRDefault="00905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11C0"/>
    <w:rsid w:val="0014334D"/>
    <w:rsid w:val="00905868"/>
    <w:rsid w:val="00D511C0"/>
    <w:rsid w:val="00F1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268F"/>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66" w:right="3004"/>
      <w:jc w:val="center"/>
      <w:outlineLvl w:val="0"/>
    </w:pPr>
    <w:rPr>
      <w:rFonts w:ascii="Calibri" w:eastAsia="Calibri" w:hAnsi="Calibri" w:cs="Calibri"/>
      <w:b/>
      <w:bCs/>
      <w:sz w:val="24"/>
      <w:szCs w:val="24"/>
    </w:rPr>
  </w:style>
  <w:style w:type="paragraph" w:styleId="Heading2">
    <w:name w:val="heading 2"/>
    <w:basedOn w:val="Normal"/>
    <w:uiPriority w:val="9"/>
    <w:unhideWhenUsed/>
    <w:qFormat/>
    <w:pPr>
      <w:ind w:left="3366" w:right="3007"/>
      <w:jc w:val="center"/>
      <w:outlineLvl w:val="1"/>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3406</Characters>
  <Application>Microsoft Office Word</Application>
  <DocSecurity>0</DocSecurity>
  <Lines>65</Lines>
  <Paragraphs>17</Paragraphs>
  <ScaleCrop>false</ScaleCrop>
  <Company>Purdue University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Committee Meeting Minutes</dc:title>
  <dc:creator>promano</dc:creator>
  <cp:lastModifiedBy>Elizabeth E Gray</cp:lastModifiedBy>
  <cp:revision>2</cp:revision>
  <dcterms:created xsi:type="dcterms:W3CDTF">2026-04-11T15:34:00Z</dcterms:created>
  <dcterms:modified xsi:type="dcterms:W3CDTF">2026-04-11T15:35:00Z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Acrobat PDFMaker 20 for Word</vt:lpwstr>
  </property>
  <property fmtid="{D5CDD505-2E9C-101B-9397-08002B2CF9AE}" pid="4" name="LastSaved">
    <vt:filetime>2026-04-11T00:00:00Z</vt:filetime>
  </property>
  <property fmtid="{D5CDD505-2E9C-101B-9397-08002B2CF9AE}" pid="5" name="Producer">
    <vt:lpwstr>Adobe PDF Library 20.13.98</vt:lpwstr>
  </property>
  <property fmtid="{D5CDD505-2E9C-101B-9397-08002B2CF9AE}" pid="6" name="SourceModified">
    <vt:lpwstr>D:20201208145803</vt:lpwstr>
  </property>
  <property fmtid="{D5CDD505-2E9C-101B-9397-08002B2CF9AE}" pid="7" name="_NewReviewCycle">
    <vt:lpwstr/>
  </property>
</Properties>
</file>