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97E76" w14:textId="425A2B76" w:rsidR="00E81978" w:rsidRDefault="001C6139">
      <w:pPr>
        <w:pStyle w:val="Title"/>
      </w:pPr>
      <w:sdt>
        <w:sdtPr>
          <w:alias w:val="Title:"/>
          <w:tag w:val="Title:"/>
          <w:id w:val="726351117"/>
          <w:placeholder>
            <w:docPart w:val="D6092259E797C548A4A417A3CCE8EBB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1469EF">
            <w:t xml:space="preserve">Anxiety and Coping Styles of First-Year Nursing Students </w:t>
          </w:r>
          <w:r w:rsidR="00775BCC">
            <w:t>During COVID</w:t>
          </w:r>
        </w:sdtContent>
      </w:sdt>
    </w:p>
    <w:p w14:paraId="3F0527D2" w14:textId="77777777" w:rsidR="00B823AA" w:rsidRDefault="00307842" w:rsidP="00B823AA">
      <w:pPr>
        <w:pStyle w:val="Title2"/>
      </w:pPr>
      <w:r>
        <w:t>Anne E. Campbell</w:t>
      </w:r>
    </w:p>
    <w:p w14:paraId="43D56A8C" w14:textId="6216A747" w:rsidR="00E81978" w:rsidRDefault="00307842" w:rsidP="00B823AA">
      <w:pPr>
        <w:pStyle w:val="Title2"/>
      </w:pPr>
      <w:r>
        <w:t>Purdue University School of Nursing</w:t>
      </w:r>
    </w:p>
    <w:p w14:paraId="1A1C287C" w14:textId="6EEE8F62" w:rsidR="00775BCC" w:rsidRDefault="00775BCC" w:rsidP="00B823AA">
      <w:pPr>
        <w:pStyle w:val="Title2"/>
      </w:pPr>
      <w:r>
        <w:t>Doctoral of Nursing Practice Candidate</w:t>
      </w:r>
    </w:p>
    <w:p w14:paraId="4466AD12" w14:textId="77777777" w:rsidR="000335D4" w:rsidRDefault="000335D4" w:rsidP="00B823AA">
      <w:pPr>
        <w:pStyle w:val="Title2"/>
      </w:pPr>
    </w:p>
    <w:p w14:paraId="6D654CBB" w14:textId="71CE842F" w:rsidR="00E81978" w:rsidRDefault="001C6139" w:rsidP="005E4089">
      <w:pPr>
        <w:pStyle w:val="SectionTitle"/>
        <w:jc w:val="left"/>
      </w:pPr>
      <w:sdt>
        <w:sdtPr>
          <w:alias w:val="Section title:"/>
          <w:tag w:val="Section title:"/>
          <w:id w:val="984196707"/>
          <w:placeholder>
            <w:docPart w:val="DB1B4C5CD9DD6C41B35E91AF3DA39D4C"/>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775BCC">
            <w:t>Anxiety and Coping Styles of First-Year Nursing Students During COVID</w:t>
          </w:r>
        </w:sdtContent>
      </w:sdt>
    </w:p>
    <w:p w14:paraId="438C637A" w14:textId="288D406B" w:rsidR="00984F0E" w:rsidRDefault="005E4089">
      <w:r w:rsidRPr="005E4089">
        <w:t>The</w:t>
      </w:r>
      <w:r w:rsidR="00B21379">
        <w:t>re is an</w:t>
      </w:r>
      <w:r w:rsidRPr="005E4089">
        <w:t xml:space="preserve"> increasing amount of anxiety experienced by </w:t>
      </w:r>
      <w:r>
        <w:t>college students</w:t>
      </w:r>
      <w:r w:rsidR="00712961">
        <w:t xml:space="preserve"> </w:t>
      </w:r>
      <w:r>
        <w:t>affect</w:t>
      </w:r>
      <w:r w:rsidR="00712961">
        <w:t xml:space="preserve">ing </w:t>
      </w:r>
      <w:r>
        <w:t xml:space="preserve">their mental health </w:t>
      </w:r>
      <w:r w:rsidR="00926E67">
        <w:t>and</w:t>
      </w:r>
      <w:r>
        <w:t xml:space="preserve"> success through college</w:t>
      </w:r>
      <w:r w:rsidR="005D3C22">
        <w:t xml:space="preserve"> (Turner</w:t>
      </w:r>
      <w:r w:rsidR="008A34FA">
        <w:t xml:space="preserve"> et al., </w:t>
      </w:r>
      <w:r w:rsidR="001B1A36">
        <w:t>2018)</w:t>
      </w:r>
      <w:r>
        <w:t xml:space="preserve">. </w:t>
      </w:r>
      <w:r w:rsidR="00053EDD">
        <w:t>Th</w:t>
      </w:r>
      <w:r w:rsidR="00EC3B04">
        <w:t>e</w:t>
      </w:r>
      <w:r w:rsidR="00053EDD">
        <w:t xml:space="preserve"> increase in </w:t>
      </w:r>
      <w:r w:rsidR="00457BE6">
        <w:t xml:space="preserve">the </w:t>
      </w:r>
      <w:r w:rsidR="00053EDD">
        <w:t>mental health needs of students is far exceeding current resources on college and university campuses</w:t>
      </w:r>
      <w:r w:rsidR="00364DD4">
        <w:t xml:space="preserve"> across the United States</w:t>
      </w:r>
      <w:r w:rsidR="00053EDD">
        <w:t xml:space="preserve">. </w:t>
      </w:r>
      <w:r w:rsidR="00457BE6">
        <w:t>M</w:t>
      </w:r>
      <w:r w:rsidR="00053EDD">
        <w:t xml:space="preserve">any components impact a student’s mental health including previous educational experience </w:t>
      </w:r>
      <w:r w:rsidR="00EC3B04">
        <w:t>and</w:t>
      </w:r>
      <w:r w:rsidR="00053EDD">
        <w:t xml:space="preserve"> pressure of choosing their future career. </w:t>
      </w:r>
      <w:r w:rsidR="00FE793B">
        <w:t>W</w:t>
      </w:r>
      <w:r w:rsidR="00926E67">
        <w:t xml:space="preserve">hen an individual is psychologically and intellectually ready, they will choose their profession </w:t>
      </w:r>
      <w:r w:rsidR="00B21379">
        <w:t xml:space="preserve">and </w:t>
      </w:r>
      <w:r w:rsidR="00926E67">
        <w:t xml:space="preserve">develop </w:t>
      </w:r>
      <w:r w:rsidR="002257FB">
        <w:t>skills</w:t>
      </w:r>
      <w:r w:rsidR="00926E67">
        <w:t xml:space="preserve"> and </w:t>
      </w:r>
      <w:r w:rsidR="002257FB">
        <w:t>tool</w:t>
      </w:r>
      <w:r w:rsidR="00926E67">
        <w:t xml:space="preserve">s allowing them to accomplish their professional goals. </w:t>
      </w:r>
      <w:r w:rsidR="00364DD4">
        <w:t xml:space="preserve">To choose a profession, an individual must be psychologically and intellectually ready to accomplish their profession goals by developing the skills and tools they need to be successful. </w:t>
      </w:r>
      <w:r w:rsidR="00926E67">
        <w:t>Choosing a profession can be an important factor in the mental health of individual</w:t>
      </w:r>
      <w:r w:rsidR="00B21379">
        <w:t>s</w:t>
      </w:r>
      <w:r w:rsidR="00926E67">
        <w:t xml:space="preserve"> (Karaca</w:t>
      </w:r>
      <w:r w:rsidR="008A34FA">
        <w:t xml:space="preserve"> et al.,</w:t>
      </w:r>
      <w:r w:rsidR="00926E67">
        <w:t xml:space="preserve"> 2019). </w:t>
      </w:r>
      <w:r w:rsidR="00B21379">
        <w:t xml:space="preserve">The importance of this decision and </w:t>
      </w:r>
      <w:r w:rsidR="005604E4">
        <w:t xml:space="preserve">the </w:t>
      </w:r>
      <w:r w:rsidR="00B21379">
        <w:t>stress of college life</w:t>
      </w:r>
      <w:r w:rsidR="00FE793B">
        <w:t xml:space="preserve"> </w:t>
      </w:r>
      <w:r w:rsidR="00B21379">
        <w:t>impact</w:t>
      </w:r>
      <w:r w:rsidR="00FE793B">
        <w:t>s</w:t>
      </w:r>
      <w:r w:rsidR="00B21379">
        <w:t xml:space="preserve"> </w:t>
      </w:r>
      <w:r w:rsidR="00AC654E">
        <w:t xml:space="preserve">an </w:t>
      </w:r>
      <w:r w:rsidR="00B21379">
        <w:t xml:space="preserve">individual’s mental health and development of coping styles. </w:t>
      </w:r>
      <w:r w:rsidR="00926E67">
        <w:t>S</w:t>
      </w:r>
      <w:r w:rsidR="005E54FD">
        <w:t xml:space="preserve">tudents who experience negative emotional feelings </w:t>
      </w:r>
      <w:r w:rsidR="00654E1C">
        <w:t xml:space="preserve">often </w:t>
      </w:r>
      <w:r w:rsidR="005E54FD">
        <w:t xml:space="preserve">develop coping styles ineffective in dealing with those </w:t>
      </w:r>
      <w:r w:rsidR="007146F7">
        <w:t xml:space="preserve">negative </w:t>
      </w:r>
      <w:r w:rsidR="005E54FD">
        <w:t>emotions (Sun</w:t>
      </w:r>
      <w:r w:rsidR="008A34FA">
        <w:t xml:space="preserve"> et al., </w:t>
      </w:r>
      <w:r w:rsidR="005E54FD">
        <w:t xml:space="preserve">2016). </w:t>
      </w:r>
      <w:r w:rsidR="00EC3B04">
        <w:t>M</w:t>
      </w:r>
      <w:r w:rsidR="00654E1C">
        <w:t xml:space="preserve">ental </w:t>
      </w:r>
      <w:r w:rsidR="00FE793B">
        <w:t xml:space="preserve">health </w:t>
      </w:r>
      <w:r w:rsidR="00654E1C">
        <w:t xml:space="preserve">disorders </w:t>
      </w:r>
      <w:r w:rsidR="00EC3B04">
        <w:t xml:space="preserve">often </w:t>
      </w:r>
      <w:r w:rsidR="00654E1C">
        <w:t>begin in early adulthood</w:t>
      </w:r>
      <w:r w:rsidR="00364DD4">
        <w:t xml:space="preserve">, a </w:t>
      </w:r>
      <w:r w:rsidR="00654E1C">
        <w:t xml:space="preserve">delay in </w:t>
      </w:r>
      <w:r w:rsidR="00EC3B04">
        <w:t>diagnosis</w:t>
      </w:r>
      <w:r w:rsidR="00654E1C">
        <w:t xml:space="preserve"> and </w:t>
      </w:r>
      <w:r w:rsidR="00EC3B04">
        <w:t>treatment</w:t>
      </w:r>
      <w:r w:rsidR="00F930C5">
        <w:t xml:space="preserve"> </w:t>
      </w:r>
      <w:r w:rsidR="00364DD4">
        <w:t xml:space="preserve">of these mental health disorders </w:t>
      </w:r>
      <w:r w:rsidR="00F930C5">
        <w:t>often lead</w:t>
      </w:r>
      <w:r w:rsidR="00FE793B">
        <w:t>s</w:t>
      </w:r>
      <w:r w:rsidR="00F930C5">
        <w:t xml:space="preserve"> to more complex disorders </w:t>
      </w:r>
      <w:r w:rsidR="00FE793B">
        <w:t xml:space="preserve">which then leads to </w:t>
      </w:r>
      <w:r w:rsidR="00F930C5">
        <w:t>school dropout, addiction, and self-harm</w:t>
      </w:r>
      <w:r w:rsidR="00654E1C">
        <w:t xml:space="preserve"> (Duffy et al., 2019). </w:t>
      </w:r>
      <w:r>
        <w:t xml:space="preserve">First-year nursing students experience </w:t>
      </w:r>
      <w:r w:rsidR="00FE793B">
        <w:t xml:space="preserve">(FYNS) </w:t>
      </w:r>
      <w:r>
        <w:t>increase anxiety</w:t>
      </w:r>
      <w:r w:rsidR="007146F7">
        <w:t xml:space="preserve"> </w:t>
      </w:r>
      <w:r w:rsidR="00EC3B04">
        <w:t>due</w:t>
      </w:r>
      <w:r w:rsidR="007146F7">
        <w:t xml:space="preserve"> to</w:t>
      </w:r>
      <w:r>
        <w:t xml:space="preserve"> being </w:t>
      </w:r>
      <w:r w:rsidR="00926E67">
        <w:t>first-time college students, being away from the familiarity of home, exposure to drug</w:t>
      </w:r>
      <w:r w:rsidR="00D47C11">
        <w:t>s</w:t>
      </w:r>
      <w:r w:rsidR="00926E67">
        <w:t xml:space="preserve"> and alcohol,</w:t>
      </w:r>
      <w:r>
        <w:t xml:space="preserve"> </w:t>
      </w:r>
      <w:r w:rsidR="00984F0E">
        <w:t>and meeting</w:t>
      </w:r>
      <w:r>
        <w:t xml:space="preserve"> the demand</w:t>
      </w:r>
      <w:r w:rsidR="00B21379">
        <w:t>s of their nursing program</w:t>
      </w:r>
      <w:r>
        <w:t xml:space="preserve">. </w:t>
      </w:r>
      <w:r w:rsidR="00CA1011">
        <w:t>The development of positive coping styles can be developed and utilized by nursing students throughout their academic and professional nursing career</w:t>
      </w:r>
    </w:p>
    <w:p w14:paraId="0F9413BF" w14:textId="67F99191" w:rsidR="00984F0E" w:rsidRPr="00984F0E" w:rsidRDefault="00984F0E" w:rsidP="00984F0E">
      <w:pPr>
        <w:ind w:firstLine="0"/>
        <w:rPr>
          <w:b/>
          <w:bCs/>
        </w:rPr>
      </w:pPr>
      <w:r w:rsidRPr="00984F0E">
        <w:rPr>
          <w:b/>
          <w:bCs/>
        </w:rPr>
        <w:t>Significance</w:t>
      </w:r>
    </w:p>
    <w:p w14:paraId="6F5FC308" w14:textId="679AF174" w:rsidR="00E81978" w:rsidRDefault="00F54E64" w:rsidP="00712961">
      <w:r w:rsidRPr="00984F0E">
        <w:lastRenderedPageBreak/>
        <w:t xml:space="preserve">Mental health disorders account for the </w:t>
      </w:r>
      <w:r w:rsidR="00CF6203" w:rsidRPr="00984F0E">
        <w:t>greatest</w:t>
      </w:r>
      <w:r w:rsidRPr="00984F0E">
        <w:t xml:space="preserve"> </w:t>
      </w:r>
      <w:r w:rsidR="00CF6203" w:rsidRPr="00984F0E">
        <w:t xml:space="preserve">number of </w:t>
      </w:r>
      <w:r w:rsidRPr="00984F0E">
        <w:t xml:space="preserve">negative </w:t>
      </w:r>
      <w:r w:rsidR="00733384" w:rsidRPr="00984F0E">
        <w:t xml:space="preserve">health </w:t>
      </w:r>
      <w:r w:rsidRPr="00984F0E">
        <w:t>repercussion</w:t>
      </w:r>
      <w:r w:rsidR="00CF6203" w:rsidRPr="00984F0E">
        <w:t>s</w:t>
      </w:r>
      <w:r w:rsidRPr="00984F0E">
        <w:t xml:space="preserve"> </w:t>
      </w:r>
      <w:r w:rsidR="00317A33" w:rsidRPr="00984F0E">
        <w:t>compare to</w:t>
      </w:r>
      <w:r w:rsidRPr="00984F0E">
        <w:t xml:space="preserve"> any other </w:t>
      </w:r>
      <w:r w:rsidR="00CA1011">
        <w:t xml:space="preserve">physical </w:t>
      </w:r>
      <w:r w:rsidRPr="00984F0E">
        <w:t>health condition</w:t>
      </w:r>
      <w:r w:rsidR="00CF6203" w:rsidRPr="00984F0E">
        <w:t>s</w:t>
      </w:r>
      <w:r w:rsidRPr="00984F0E">
        <w:t xml:space="preserve"> </w:t>
      </w:r>
      <w:r w:rsidR="00984F0E" w:rsidRPr="00984F0E">
        <w:t>among college</w:t>
      </w:r>
      <w:r w:rsidR="00984F0E">
        <w:t>-</w:t>
      </w:r>
      <w:r w:rsidR="00984F0E" w:rsidRPr="00984F0E">
        <w:t xml:space="preserve">aged individuals </w:t>
      </w:r>
      <w:r w:rsidRPr="00984F0E">
        <w:t>(Marsh &amp; Wilcoxon, 2015).</w:t>
      </w:r>
      <w:r>
        <w:t xml:space="preserve"> </w:t>
      </w:r>
      <w:r w:rsidR="00543A41">
        <w:t>Anxiety disorders a</w:t>
      </w:r>
      <w:r w:rsidR="00CF6203">
        <w:t>re the largest group of mental health diagnos</w:t>
      </w:r>
      <w:r w:rsidR="00926E67">
        <w:t>es</w:t>
      </w:r>
      <w:r w:rsidR="00CF6203">
        <w:t xml:space="preserve"> </w:t>
      </w:r>
      <w:r w:rsidR="001B1A36">
        <w:t xml:space="preserve">among Americans </w:t>
      </w:r>
      <w:r w:rsidR="00CF6203">
        <w:t xml:space="preserve">accounting for </w:t>
      </w:r>
      <w:r w:rsidR="00317A33">
        <w:t>approximately</w:t>
      </w:r>
      <w:r w:rsidR="00543A41">
        <w:t xml:space="preserve"> 31% of all mental health costs making anxiety the most expensive mental health disorder (Coles</w:t>
      </w:r>
      <w:r w:rsidR="008A34FA">
        <w:t xml:space="preserve"> et al., </w:t>
      </w:r>
      <w:r w:rsidR="00543A41">
        <w:t xml:space="preserve">2015). </w:t>
      </w:r>
      <w:r w:rsidR="00712961">
        <w:t>According to the American College Health Association (2018)</w:t>
      </w:r>
      <w:r w:rsidR="00D47C11">
        <w:t>,</w:t>
      </w:r>
      <w:r w:rsidR="00712961">
        <w:t xml:space="preserve"> one</w:t>
      </w:r>
      <w:r w:rsidR="00D47C11">
        <w:t>-</w:t>
      </w:r>
      <w:r w:rsidR="00712961">
        <w:t xml:space="preserve">third of college freshmen experience mental health problems with 57% feeling overwhelming anxiety and </w:t>
      </w:r>
      <w:r w:rsidR="00FE793B">
        <w:t xml:space="preserve">with </w:t>
      </w:r>
      <w:r w:rsidR="00712961">
        <w:t>only 15.8% receiving a diagnosis or treatment over 12-month</w:t>
      </w:r>
      <w:r w:rsidR="00D47C11">
        <w:t>s</w:t>
      </w:r>
      <w:r w:rsidR="00712961">
        <w:t xml:space="preserve"> (Tavakoli</w:t>
      </w:r>
      <w:r w:rsidR="008A34FA">
        <w:t xml:space="preserve"> et al., </w:t>
      </w:r>
      <w:r w:rsidR="00712961">
        <w:t>2018). From Fall 2009 to Spring 2015</w:t>
      </w:r>
      <w:r w:rsidR="00EC3B04">
        <w:t>,</w:t>
      </w:r>
      <w:r w:rsidR="00712961">
        <w:t xml:space="preserve"> there was an average increase of 30-40% in the use of counseling centers with </w:t>
      </w:r>
      <w:r w:rsidR="00EC3B04">
        <w:t xml:space="preserve">only a </w:t>
      </w:r>
      <w:r w:rsidR="00712961">
        <w:t xml:space="preserve">5% increase in </w:t>
      </w:r>
      <w:r w:rsidR="00B21379">
        <w:t xml:space="preserve">student </w:t>
      </w:r>
      <w:r w:rsidR="00712961">
        <w:t xml:space="preserve">enrollment (Center for Collegiate Mental Health, 2019). Anxiety disorders frequently commence during early </w:t>
      </w:r>
      <w:r w:rsidR="00D47C11">
        <w:t>adulthood</w:t>
      </w:r>
      <w:r w:rsidR="00364DD4">
        <w:t>, however</w:t>
      </w:r>
      <w:r w:rsidR="002257FB">
        <w:t xml:space="preserve"> with </w:t>
      </w:r>
      <w:r w:rsidR="00364DD4">
        <w:t>timely</w:t>
      </w:r>
      <w:r w:rsidR="00712961">
        <w:t xml:space="preserve"> recognition and intervention</w:t>
      </w:r>
      <w:r w:rsidR="00364DD4">
        <w:t xml:space="preserve"> </w:t>
      </w:r>
      <w:r w:rsidR="00712961">
        <w:t xml:space="preserve">anxiety disorders </w:t>
      </w:r>
      <w:r w:rsidR="00364DD4">
        <w:t xml:space="preserve">can be prevented </w:t>
      </w:r>
      <w:r w:rsidR="00712961">
        <w:t xml:space="preserve">from becoming </w:t>
      </w:r>
      <w:r w:rsidR="00364DD4">
        <w:t>maladaptive</w:t>
      </w:r>
      <w:r w:rsidR="00712961">
        <w:t xml:space="preserve"> and a comorbid condition (Coles</w:t>
      </w:r>
      <w:r w:rsidR="008A34FA">
        <w:t xml:space="preserve"> et al.,</w:t>
      </w:r>
      <w:r w:rsidR="00712961">
        <w:t xml:space="preserve"> 2015)</w:t>
      </w:r>
      <w:r w:rsidR="00926E67">
        <w:t>. I</w:t>
      </w:r>
      <w:r w:rsidR="00984F0E" w:rsidRPr="00984F0E">
        <w:t xml:space="preserve">ncreased feelings </w:t>
      </w:r>
      <w:r w:rsidR="00D47C11">
        <w:t xml:space="preserve">of </w:t>
      </w:r>
      <w:r w:rsidR="00A648B0" w:rsidRPr="00984F0E">
        <w:t>anxiety</w:t>
      </w:r>
      <w:r w:rsidR="00984F0E" w:rsidRPr="00984F0E">
        <w:t xml:space="preserve"> and </w:t>
      </w:r>
      <w:r w:rsidR="00A648B0" w:rsidRPr="00984F0E">
        <w:t>depression</w:t>
      </w:r>
      <w:r w:rsidR="00926E67">
        <w:t xml:space="preserve"> among college students </w:t>
      </w:r>
      <w:r w:rsidR="00D47C11">
        <w:t>are</w:t>
      </w:r>
      <w:r w:rsidR="00926E67">
        <w:t xml:space="preserve"> linked to</w:t>
      </w:r>
      <w:r w:rsidR="00A648B0" w:rsidRPr="00984F0E">
        <w:t xml:space="preserve"> health problems</w:t>
      </w:r>
      <w:r w:rsidR="002257FB">
        <w:t xml:space="preserve"> </w:t>
      </w:r>
      <w:r w:rsidR="00A648B0" w:rsidRPr="00984F0E">
        <w:t xml:space="preserve">and </w:t>
      </w:r>
      <w:r w:rsidR="00317A33" w:rsidRPr="00984F0E">
        <w:t>risk-taking</w:t>
      </w:r>
      <w:r w:rsidR="00A648B0" w:rsidRPr="00984F0E">
        <w:t xml:space="preserve"> behavior (Coiro</w:t>
      </w:r>
      <w:r w:rsidR="008A34FA">
        <w:t xml:space="preserve"> et al., </w:t>
      </w:r>
      <w:r w:rsidR="00A648B0" w:rsidRPr="00984F0E">
        <w:t>2017).</w:t>
      </w:r>
      <w:r w:rsidR="00A648B0">
        <w:t xml:space="preserve"> </w:t>
      </w:r>
      <w:r w:rsidR="004C3390">
        <w:t xml:space="preserve">Research has </w:t>
      </w:r>
      <w:r w:rsidR="00364DD4">
        <w:t>associated</w:t>
      </w:r>
      <w:r w:rsidR="004C3390">
        <w:t xml:space="preserve"> </w:t>
      </w:r>
      <w:r w:rsidR="00EC3B04">
        <w:t xml:space="preserve">students’ </w:t>
      </w:r>
      <w:r w:rsidR="00B21379">
        <w:t xml:space="preserve">overall </w:t>
      </w:r>
      <w:r w:rsidR="004C3390">
        <w:t>mental health with</w:t>
      </w:r>
      <w:r w:rsidR="00CF6203">
        <w:t xml:space="preserve"> </w:t>
      </w:r>
      <w:r w:rsidR="00EC3B04">
        <w:t xml:space="preserve">their </w:t>
      </w:r>
      <w:r w:rsidR="004C3390">
        <w:t xml:space="preserve">academic performance and educational achievement with nearly 4.3 million individuals not completing college due to onset </w:t>
      </w:r>
      <w:r w:rsidR="00FB0A2F">
        <w:t xml:space="preserve">or continuation </w:t>
      </w:r>
      <w:r w:rsidR="004C3390">
        <w:t xml:space="preserve">of mental health disorders (Marsh &amp; Wilcoxon, 2015). </w:t>
      </w:r>
      <w:r w:rsidR="00D47C11">
        <w:t>For s</w:t>
      </w:r>
      <w:r w:rsidR="008A181F" w:rsidRPr="00984F0E">
        <w:t>tudents who</w:t>
      </w:r>
      <w:r w:rsidR="005529B6">
        <w:t xml:space="preserve"> </w:t>
      </w:r>
      <w:r w:rsidR="008A181F" w:rsidRPr="00984F0E">
        <w:t xml:space="preserve">meet diagnostic criteria </w:t>
      </w:r>
      <w:r w:rsidR="00984F0E" w:rsidRPr="00984F0E">
        <w:t xml:space="preserve">for </w:t>
      </w:r>
      <w:r w:rsidR="008A181F" w:rsidRPr="00984F0E">
        <w:t>mental</w:t>
      </w:r>
      <w:r w:rsidR="00984F0E" w:rsidRPr="00984F0E">
        <w:t xml:space="preserve"> hea</w:t>
      </w:r>
      <w:r w:rsidR="00D47C11">
        <w:t>l</w:t>
      </w:r>
      <w:r w:rsidR="00984F0E" w:rsidRPr="00984F0E">
        <w:t>th</w:t>
      </w:r>
      <w:r w:rsidR="008A181F" w:rsidRPr="00984F0E">
        <w:t xml:space="preserve"> disorders</w:t>
      </w:r>
      <w:r w:rsidR="00984F0E" w:rsidRPr="00984F0E">
        <w:t>,</w:t>
      </w:r>
      <w:r w:rsidR="008A181F" w:rsidRPr="00984F0E">
        <w:t xml:space="preserve"> only 20% seek or receive treatment (Duffy</w:t>
      </w:r>
      <w:r w:rsidR="008A34FA">
        <w:t xml:space="preserve"> et al., </w:t>
      </w:r>
      <w:r w:rsidR="008A181F" w:rsidRPr="00984F0E">
        <w:t>2019).</w:t>
      </w:r>
      <w:r w:rsidR="00984F0E">
        <w:t xml:space="preserve"> </w:t>
      </w:r>
      <w:r w:rsidR="00FE793B">
        <w:t>I</w:t>
      </w:r>
      <w:r w:rsidR="00FE793B" w:rsidRPr="004012EA">
        <w:t>dentif</w:t>
      </w:r>
      <w:r w:rsidR="00FE793B">
        <w:t>ying</w:t>
      </w:r>
      <w:r w:rsidR="00984F0E" w:rsidRPr="004012EA">
        <w:t xml:space="preserve"> those students who </w:t>
      </w:r>
      <w:r w:rsidR="00EC3B04">
        <w:t xml:space="preserve">are </w:t>
      </w:r>
      <w:r w:rsidR="00712961" w:rsidRPr="004012EA">
        <w:t>experienc</w:t>
      </w:r>
      <w:r w:rsidR="00EC3B04">
        <w:t xml:space="preserve">ing </w:t>
      </w:r>
      <w:r w:rsidR="00984F0E" w:rsidRPr="004012EA">
        <w:t>increas</w:t>
      </w:r>
      <w:r w:rsidR="00EC3B04">
        <w:t>e</w:t>
      </w:r>
      <w:r w:rsidR="005604E4">
        <w:t>d</w:t>
      </w:r>
      <w:r w:rsidR="00984F0E" w:rsidRPr="004012EA">
        <w:t xml:space="preserve"> levels of stress</w:t>
      </w:r>
      <w:r w:rsidR="00364DD4">
        <w:t xml:space="preserve">, a known precursor to </w:t>
      </w:r>
      <w:r w:rsidR="00712961" w:rsidRPr="004012EA">
        <w:t>anxiety</w:t>
      </w:r>
      <w:r w:rsidR="00364DD4">
        <w:t>,</w:t>
      </w:r>
      <w:r w:rsidR="00712961" w:rsidRPr="004012EA">
        <w:t xml:space="preserve"> and teach</w:t>
      </w:r>
      <w:r w:rsidR="00364DD4">
        <w:t>ing them</w:t>
      </w:r>
      <w:r w:rsidR="00B21379">
        <w:t xml:space="preserve"> </w:t>
      </w:r>
      <w:r w:rsidR="00712961" w:rsidRPr="004012EA">
        <w:t>appropriate coping style</w:t>
      </w:r>
      <w:r w:rsidR="002257FB">
        <w:t>s</w:t>
      </w:r>
      <w:r w:rsidR="00712961" w:rsidRPr="004012EA">
        <w:t xml:space="preserve"> to manage anxiety can </w:t>
      </w:r>
      <w:r w:rsidR="004012EA" w:rsidRPr="004012EA">
        <w:t>improve the</w:t>
      </w:r>
      <w:r w:rsidR="00B21379">
        <w:t>ir</w:t>
      </w:r>
      <w:r w:rsidR="004012EA" w:rsidRPr="004012EA">
        <w:t xml:space="preserve"> </w:t>
      </w:r>
      <w:r w:rsidR="00712961" w:rsidRPr="004012EA">
        <w:t>college experience</w:t>
      </w:r>
      <w:r w:rsidR="004012EA" w:rsidRPr="004012EA">
        <w:t xml:space="preserve"> and ability to be </w:t>
      </w:r>
      <w:r w:rsidR="00EC3B04">
        <w:t xml:space="preserve">academically </w:t>
      </w:r>
      <w:r w:rsidR="004012EA" w:rsidRPr="004012EA">
        <w:t>successful</w:t>
      </w:r>
      <w:r w:rsidR="00712961" w:rsidRPr="004012EA">
        <w:t>.</w:t>
      </w:r>
      <w:r w:rsidR="00712961">
        <w:t xml:space="preserve"> </w:t>
      </w:r>
    </w:p>
    <w:p w14:paraId="76ABB490" w14:textId="68A2224F" w:rsidR="00FD0685" w:rsidRDefault="00FD0685" w:rsidP="00307842">
      <w:pPr>
        <w:ind w:firstLine="0"/>
        <w:rPr>
          <w:b/>
          <w:bCs/>
        </w:rPr>
      </w:pPr>
      <w:r>
        <w:rPr>
          <w:b/>
          <w:bCs/>
        </w:rPr>
        <w:t>Anxiety</w:t>
      </w:r>
    </w:p>
    <w:p w14:paraId="2F0B3194" w14:textId="28BC6256" w:rsidR="00FB0A2F" w:rsidRPr="00FB0A2F" w:rsidRDefault="006D7191" w:rsidP="00842A7E">
      <w:r>
        <w:t xml:space="preserve">Anxiety is a normal part of </w:t>
      </w:r>
      <w:r w:rsidR="00FE793B">
        <w:t>life but</w:t>
      </w:r>
      <w:r w:rsidR="00062A3F">
        <w:t xml:space="preserve"> become</w:t>
      </w:r>
      <w:r w:rsidR="006B27C3">
        <w:t>s</w:t>
      </w:r>
      <w:r w:rsidR="00062A3F">
        <w:t xml:space="preserve"> </w:t>
      </w:r>
      <w:r w:rsidR="00D47C11">
        <w:t>concerning</w:t>
      </w:r>
      <w:r>
        <w:t xml:space="preserve"> when it begins to </w:t>
      </w:r>
      <w:r w:rsidR="00611BB3">
        <w:t>impede</w:t>
      </w:r>
      <w:r>
        <w:t xml:space="preserve"> an individual’s daily life experience and hinders their ability </w:t>
      </w:r>
      <w:r w:rsidR="00D47C11">
        <w:t xml:space="preserve">to </w:t>
      </w:r>
      <w:r>
        <w:t xml:space="preserve">function normally. </w:t>
      </w:r>
      <w:r w:rsidR="006B27C3">
        <w:t xml:space="preserve">Maladaptive </w:t>
      </w:r>
      <w:r w:rsidR="006B27C3">
        <w:lastRenderedPageBreak/>
        <w:t>anxiety lead</w:t>
      </w:r>
      <w:r w:rsidR="00FE793B">
        <w:t>s</w:t>
      </w:r>
      <w:r w:rsidR="006B27C3">
        <w:t xml:space="preserve"> to negative behaviors which can ultimately affect student’s success through college and increase risk-taking behaviors. </w:t>
      </w:r>
      <w:r w:rsidR="00BF1E70">
        <w:t>Studies have shown anxiety can significantly impact an individual’s ability to learn due to stimulation of the hypothalamus-pituitary adrenal axis where glucocorticoids are released from the adrenal cortex affecting working memory</w:t>
      </w:r>
      <w:r w:rsidR="008B324B">
        <w:t xml:space="preserve">. </w:t>
      </w:r>
      <w:r w:rsidR="005B04CE">
        <w:t>Thus,</w:t>
      </w:r>
      <w:r w:rsidR="008B324B">
        <w:t xml:space="preserve"> working memory is unequivocally affected by anxiety hormones which lead</w:t>
      </w:r>
      <w:r w:rsidR="00FE793B">
        <w:t>s</w:t>
      </w:r>
      <w:r w:rsidR="008B324B">
        <w:t xml:space="preserve"> to deficits in cognition reducing storage and processing space for working memory</w:t>
      </w:r>
      <w:r w:rsidR="00BF1E70">
        <w:t xml:space="preserve"> (Al-Ghareeb</w:t>
      </w:r>
      <w:r w:rsidR="008A34FA">
        <w:t xml:space="preserve"> et al., </w:t>
      </w:r>
      <w:r w:rsidR="00BF1E70">
        <w:t xml:space="preserve">2019). </w:t>
      </w:r>
      <w:r w:rsidR="00842A7E">
        <w:t>Anxiety</w:t>
      </w:r>
      <w:r w:rsidR="005529B6">
        <w:t xml:space="preserve"> result</w:t>
      </w:r>
      <w:r w:rsidR="00FE793B">
        <w:t>s</w:t>
      </w:r>
      <w:r w:rsidR="005529B6">
        <w:t xml:space="preserve"> in </w:t>
      </w:r>
      <w:r w:rsidR="00842A7E">
        <w:t>feelings of apprehension, panic, trembling, shaky, dry mouth, breathing difficulties, increase</w:t>
      </w:r>
      <w:r w:rsidR="00D47C11">
        <w:t>d</w:t>
      </w:r>
      <w:r w:rsidR="00842A7E">
        <w:t xml:space="preserve"> heartbeat, sweaty palms, concerns about performance, and feelings of losing control (Beiter</w:t>
      </w:r>
      <w:r w:rsidR="008A34FA">
        <w:t xml:space="preserve"> et al., </w:t>
      </w:r>
      <w:r w:rsidR="00842A7E">
        <w:t>2015).</w:t>
      </w:r>
      <w:r w:rsidR="004012EA">
        <w:t xml:space="preserve"> These </w:t>
      </w:r>
      <w:r w:rsidR="00364DD4">
        <w:t>anxiety responses</w:t>
      </w:r>
      <w:r w:rsidR="004012EA">
        <w:t xml:space="preserve"> not only impact the student’s ability to perform academically but</w:t>
      </w:r>
      <w:r w:rsidR="00FE793B">
        <w:t xml:space="preserve"> also their</w:t>
      </w:r>
      <w:r w:rsidR="004012EA">
        <w:t xml:space="preserve"> physical health. </w:t>
      </w:r>
      <w:r w:rsidR="00611BB3">
        <w:t>There are four levels of anxiety: mild, moderate, severe, and panic with the focus being on the higher levels of anxiety which negatively impact a student’s performance (Sun</w:t>
      </w:r>
      <w:r w:rsidR="008A34FA">
        <w:t xml:space="preserve"> et al., </w:t>
      </w:r>
      <w:r w:rsidR="00611BB3">
        <w:t xml:space="preserve">2016). </w:t>
      </w:r>
      <w:r w:rsidR="004012EA">
        <w:t>Previous research show</w:t>
      </w:r>
      <w:r w:rsidR="00C95878">
        <w:t>s</w:t>
      </w:r>
      <w:r w:rsidR="004012EA">
        <w:t xml:space="preserve"> a strong association </w:t>
      </w:r>
      <w:r w:rsidR="00D47C11">
        <w:t>between</w:t>
      </w:r>
      <w:r w:rsidR="004012EA">
        <w:t xml:space="preserve"> interpersonal stress and </w:t>
      </w:r>
      <w:r w:rsidR="00D47C11">
        <w:t xml:space="preserve">the </w:t>
      </w:r>
      <w:r w:rsidR="004012EA">
        <w:t>presence of anxiety</w:t>
      </w:r>
      <w:r w:rsidR="001D2DB2">
        <w:t>,</w:t>
      </w:r>
      <w:r w:rsidR="004012EA">
        <w:t xml:space="preserve"> depression</w:t>
      </w:r>
      <w:r w:rsidR="001D2DB2">
        <w:t>, health problems, and risk-taking behaviors</w:t>
      </w:r>
      <w:r w:rsidR="004012EA">
        <w:t xml:space="preserve"> (Coiro</w:t>
      </w:r>
      <w:r w:rsidR="008A34FA">
        <w:t xml:space="preserve"> et al., </w:t>
      </w:r>
      <w:r w:rsidR="004012EA">
        <w:t xml:space="preserve">2017). </w:t>
      </w:r>
      <w:r w:rsidR="008B324B">
        <w:t>While preparing students for their future in nursing</w:t>
      </w:r>
      <w:r w:rsidR="00B21379">
        <w:t>,</w:t>
      </w:r>
      <w:r w:rsidR="008B324B">
        <w:t xml:space="preserve"> their education</w:t>
      </w:r>
      <w:r w:rsidR="00FE793B">
        <w:t>al</w:t>
      </w:r>
      <w:r w:rsidR="008B324B">
        <w:t xml:space="preserve"> </w:t>
      </w:r>
      <w:r w:rsidR="00FE793B">
        <w:t>experiences</w:t>
      </w:r>
      <w:r w:rsidR="008B324B">
        <w:t xml:space="preserve"> </w:t>
      </w:r>
      <w:r w:rsidR="00FE793B">
        <w:t>require</w:t>
      </w:r>
      <w:r w:rsidR="008B324B">
        <w:t xml:space="preserve"> some degree of </w:t>
      </w:r>
      <w:r w:rsidR="00A071E7">
        <w:t>anxiety</w:t>
      </w:r>
      <w:r w:rsidR="008B324B">
        <w:t xml:space="preserve"> and </w:t>
      </w:r>
      <w:r w:rsidR="00A071E7">
        <w:t>challenges</w:t>
      </w:r>
      <w:r w:rsidR="008B324B">
        <w:t xml:space="preserve"> that can be </w:t>
      </w:r>
      <w:r w:rsidR="00FE793B">
        <w:t>a</w:t>
      </w:r>
      <w:r w:rsidR="008B324B">
        <w:t xml:space="preserve"> hindrance in their ability to learn (Al-Ghareeb</w:t>
      </w:r>
      <w:r w:rsidR="008A34FA">
        <w:t xml:space="preserve"> et al., </w:t>
      </w:r>
      <w:r w:rsidR="008B324B">
        <w:t xml:space="preserve">2019). </w:t>
      </w:r>
      <w:r w:rsidR="00B11EA1">
        <w:t>Student’s</w:t>
      </w:r>
      <w:r w:rsidR="004012EA">
        <w:t xml:space="preserve"> use of </w:t>
      </w:r>
      <w:r w:rsidR="00A071E7">
        <w:t xml:space="preserve">positive </w:t>
      </w:r>
      <w:r w:rsidR="004012EA">
        <w:t xml:space="preserve">coping styles </w:t>
      </w:r>
      <w:r w:rsidR="00B11EA1">
        <w:t>results in a reduced level of anxiety and depressive symptoms, while negative coping styles that avoid or deny the stressor result in higher levels of depressive symptoms but not necessary anxiety</w:t>
      </w:r>
      <w:r w:rsidR="004012EA">
        <w:t xml:space="preserve"> (Coiro</w:t>
      </w:r>
      <w:r w:rsidR="008A34FA">
        <w:t xml:space="preserve"> et al., </w:t>
      </w:r>
      <w:r w:rsidR="004012EA">
        <w:t xml:space="preserve">2017). </w:t>
      </w:r>
      <w:r w:rsidR="00B11EA1">
        <w:t>W</w:t>
      </w:r>
      <w:r w:rsidR="004012EA">
        <w:t xml:space="preserve">hen </w:t>
      </w:r>
      <w:r w:rsidR="00B11EA1">
        <w:t>students</w:t>
      </w:r>
      <w:r w:rsidR="004012EA">
        <w:t xml:space="preserve"> experience </w:t>
      </w:r>
      <w:r w:rsidR="00531373">
        <w:t xml:space="preserve">moderate to high levels of anxiety </w:t>
      </w:r>
      <w:r w:rsidR="006B27C3">
        <w:t xml:space="preserve">their performance </w:t>
      </w:r>
      <w:r w:rsidR="00B11EA1">
        <w:t xml:space="preserve">decreases </w:t>
      </w:r>
      <w:r w:rsidR="00531373">
        <w:t xml:space="preserve">while those with mild or </w:t>
      </w:r>
      <w:r w:rsidR="00A071E7">
        <w:t>moderate</w:t>
      </w:r>
      <w:r w:rsidR="00531373">
        <w:t xml:space="preserve"> levels of anxiety performed well (Al-Ghareeb</w:t>
      </w:r>
      <w:r w:rsidR="008A34FA">
        <w:t xml:space="preserve"> et al., </w:t>
      </w:r>
      <w:r w:rsidR="00531373">
        <w:t xml:space="preserve">2019). </w:t>
      </w:r>
      <w:r w:rsidR="00B11EA1">
        <w:t>Evaluating learning occurs when the student experiences a moderate amount of anxiety</w:t>
      </w:r>
      <w:r w:rsidR="00531373">
        <w:t xml:space="preserve"> (Al-Ghareeb</w:t>
      </w:r>
      <w:r w:rsidR="008A34FA">
        <w:t xml:space="preserve"> et al., </w:t>
      </w:r>
      <w:r w:rsidR="00531373">
        <w:t>2019).</w:t>
      </w:r>
    </w:p>
    <w:p w14:paraId="343F8362" w14:textId="6C5ED029" w:rsidR="00FD0685" w:rsidRDefault="00FD0685" w:rsidP="00307842">
      <w:pPr>
        <w:ind w:firstLine="0"/>
      </w:pPr>
      <w:r>
        <w:rPr>
          <w:b/>
          <w:bCs/>
        </w:rPr>
        <w:t>Coping Style</w:t>
      </w:r>
      <w:r w:rsidR="00D86E9E">
        <w:rPr>
          <w:b/>
          <w:bCs/>
        </w:rPr>
        <w:t>s</w:t>
      </w:r>
    </w:p>
    <w:p w14:paraId="5082DD5E" w14:textId="724D2156" w:rsidR="00FD0685" w:rsidRDefault="00FD0685" w:rsidP="00307842">
      <w:pPr>
        <w:ind w:firstLine="0"/>
      </w:pPr>
      <w:r>
        <w:lastRenderedPageBreak/>
        <w:tab/>
        <w:t>Coping is defined as the effort to control one’s cognitive, behavioral, emotional, or psychological response to stress or a specific stressor (Coiro</w:t>
      </w:r>
      <w:r w:rsidR="008A34FA">
        <w:t xml:space="preserve"> et al., </w:t>
      </w:r>
      <w:r>
        <w:t xml:space="preserve">2017). </w:t>
      </w:r>
      <w:r w:rsidR="00894C9D">
        <w:t xml:space="preserve">Coping is a process in which </w:t>
      </w:r>
      <w:r w:rsidR="00FE793B">
        <w:t>an</w:t>
      </w:r>
      <w:r w:rsidR="00894C9D">
        <w:t xml:space="preserve"> individual regulates the demands of person-environment relationship</w:t>
      </w:r>
      <w:r w:rsidR="00FA7C2E">
        <w:t>s</w:t>
      </w:r>
      <w:r w:rsidR="00894C9D">
        <w:t xml:space="preserve"> </w:t>
      </w:r>
      <w:r w:rsidR="00FE793B">
        <w:t>deemed as</w:t>
      </w:r>
      <w:r w:rsidR="00894C9D">
        <w:t xml:space="preserve"> </w:t>
      </w:r>
      <w:r w:rsidR="00A071E7">
        <w:t>stressful,</w:t>
      </w:r>
      <w:r w:rsidR="00894C9D">
        <w:t xml:space="preserve"> and </w:t>
      </w:r>
      <w:r w:rsidR="00FE793B">
        <w:t xml:space="preserve">then </w:t>
      </w:r>
      <w:r w:rsidR="00894C9D">
        <w:t xml:space="preserve">emotions </w:t>
      </w:r>
      <w:r w:rsidR="00FE793B">
        <w:t xml:space="preserve">are </w:t>
      </w:r>
      <w:r w:rsidR="00894C9D">
        <w:t>generated</w:t>
      </w:r>
      <w:r w:rsidR="00062A3F">
        <w:t xml:space="preserve"> from the</w:t>
      </w:r>
      <w:r w:rsidR="00A071E7">
        <w:t>se demands</w:t>
      </w:r>
      <w:r w:rsidR="00894C9D">
        <w:t xml:space="preserve"> (Lazarus &amp; Folkman, 1984). </w:t>
      </w:r>
      <w:r w:rsidR="00A071E7">
        <w:t xml:space="preserve"> Appropriate c</w:t>
      </w:r>
      <w:r>
        <w:t xml:space="preserve">oping styles </w:t>
      </w:r>
      <w:r w:rsidR="004B7608">
        <w:t xml:space="preserve">are key </w:t>
      </w:r>
      <w:r>
        <w:t>to</w:t>
      </w:r>
      <w:r w:rsidR="004B7608">
        <w:t xml:space="preserve"> the management of</w:t>
      </w:r>
      <w:r>
        <w:t xml:space="preserve"> emotional response</w:t>
      </w:r>
      <w:r w:rsidR="00A071E7">
        <w:t>s</w:t>
      </w:r>
      <w:r>
        <w:t xml:space="preserve"> </w:t>
      </w:r>
      <w:r w:rsidR="000E2FC9">
        <w:t>based upon the appraisal of the situation allowing individual</w:t>
      </w:r>
      <w:r w:rsidR="006B27C3">
        <w:t>s</w:t>
      </w:r>
      <w:r w:rsidR="000E2FC9">
        <w:t xml:space="preserve"> to determine which coping style would best manage the situation</w:t>
      </w:r>
      <w:r>
        <w:t xml:space="preserve"> (Coiro</w:t>
      </w:r>
      <w:r w:rsidR="008A34FA">
        <w:t xml:space="preserve"> et al., </w:t>
      </w:r>
      <w:r>
        <w:t xml:space="preserve">2017). </w:t>
      </w:r>
      <w:r w:rsidR="004B7608">
        <w:t>The utilization of p</w:t>
      </w:r>
      <w:r w:rsidR="00D63BD4">
        <w:t>ositive coping skill</w:t>
      </w:r>
      <w:r w:rsidR="004B7608">
        <w:t>s</w:t>
      </w:r>
      <w:r w:rsidR="00803A60">
        <w:t xml:space="preserve"> decrease</w:t>
      </w:r>
      <w:r w:rsidR="00FA7C2E">
        <w:t>s</w:t>
      </w:r>
      <w:r w:rsidR="00803A60">
        <w:t xml:space="preserve"> feelings of psychological stress</w:t>
      </w:r>
      <w:r w:rsidR="001D2DB2">
        <w:t>,</w:t>
      </w:r>
      <w:r w:rsidR="00803A60">
        <w:t xml:space="preserve"> promote</w:t>
      </w:r>
      <w:r w:rsidR="00FA7C2E">
        <w:t>s</w:t>
      </w:r>
      <w:r w:rsidR="00803A60">
        <w:t xml:space="preserve"> adaptation</w:t>
      </w:r>
      <w:r w:rsidR="001D2DB2">
        <w:t>,</w:t>
      </w:r>
      <w:r w:rsidR="00D63BD4">
        <w:t xml:space="preserve"> and increase</w:t>
      </w:r>
      <w:r w:rsidR="00FA7C2E">
        <w:t>s</w:t>
      </w:r>
      <w:r w:rsidR="00D63BD4">
        <w:t xml:space="preserve"> adjustment when adversity </w:t>
      </w:r>
      <w:r w:rsidR="00364DD4">
        <w:t xml:space="preserve">is experienced </w:t>
      </w:r>
      <w:r w:rsidR="00D63BD4">
        <w:t>(Houston</w:t>
      </w:r>
      <w:r w:rsidR="008A34FA">
        <w:t xml:space="preserve"> et al., </w:t>
      </w:r>
      <w:r w:rsidR="0027127B">
        <w:t xml:space="preserve">2017). </w:t>
      </w:r>
      <w:r w:rsidR="00842A7E">
        <w:t xml:space="preserve">Adaptive coping </w:t>
      </w:r>
      <w:r w:rsidR="001D2DB2">
        <w:t xml:space="preserve">styles </w:t>
      </w:r>
      <w:r w:rsidR="00842A7E">
        <w:t xml:space="preserve">can disturb the stress-health link thus lowering the level of </w:t>
      </w:r>
      <w:r w:rsidR="00FE793B">
        <w:t>anxiety</w:t>
      </w:r>
      <w:r w:rsidR="00842A7E">
        <w:t xml:space="preserve"> and </w:t>
      </w:r>
      <w:r w:rsidR="00FE793B">
        <w:t>stress</w:t>
      </w:r>
      <w:r w:rsidR="00842A7E">
        <w:t xml:space="preserve"> experienced by students (Tran</w:t>
      </w:r>
      <w:r w:rsidR="008A34FA">
        <w:t xml:space="preserve"> et al., </w:t>
      </w:r>
      <w:r w:rsidR="00842A7E">
        <w:t>2020).</w:t>
      </w:r>
      <w:r w:rsidR="0017384E" w:rsidRPr="00894C9D">
        <w:t xml:space="preserve"> </w:t>
      </w:r>
      <w:r w:rsidR="0017384E" w:rsidRPr="00C95878">
        <w:t>Individuals who do not detach from their anxiety symptoms by utilizing effective coping styles will continue to struggle with feelings of anxiety (Tavakoli</w:t>
      </w:r>
      <w:r w:rsidR="008A34FA">
        <w:t xml:space="preserve"> et al., </w:t>
      </w:r>
      <w:r w:rsidR="0017384E" w:rsidRPr="00C95878">
        <w:t>2019).</w:t>
      </w:r>
      <w:r w:rsidR="004012EA">
        <w:t xml:space="preserve"> </w:t>
      </w:r>
      <w:r w:rsidR="00B9307F">
        <w:t xml:space="preserve">Sustained exposure to stress and failing to </w:t>
      </w:r>
      <w:r w:rsidR="00FA7C2E">
        <w:t>utilize</w:t>
      </w:r>
      <w:r w:rsidR="00B9307F">
        <w:t xml:space="preserve"> positive coping style</w:t>
      </w:r>
      <w:r w:rsidR="000E2FC9">
        <w:t>s</w:t>
      </w:r>
      <w:r w:rsidR="00B9307F">
        <w:t xml:space="preserve"> can impact the </w:t>
      </w:r>
      <w:r w:rsidR="000E2FC9">
        <w:t xml:space="preserve">overall </w:t>
      </w:r>
      <w:r w:rsidR="00B9307F">
        <w:t>health and well-being of student</w:t>
      </w:r>
      <w:r w:rsidR="00FE793B">
        <w:t>s</w:t>
      </w:r>
      <w:r w:rsidR="00B9307F">
        <w:t xml:space="preserve"> which lead</w:t>
      </w:r>
      <w:r w:rsidR="00FA16AF">
        <w:t>s</w:t>
      </w:r>
      <w:r w:rsidR="00B9307F">
        <w:t xml:space="preserve"> to emotional and psychological health issues ultimately impact</w:t>
      </w:r>
      <w:r w:rsidR="000E2FC9">
        <w:t>ing</w:t>
      </w:r>
      <w:r w:rsidR="00B9307F">
        <w:t xml:space="preserve"> the future of the labor force (Labrague, McEnroe-Petitte, Papathanasiou, </w:t>
      </w:r>
      <w:r w:rsidR="008A34FA">
        <w:t xml:space="preserve">et al., </w:t>
      </w:r>
      <w:r w:rsidR="00B9307F">
        <w:t>2018).</w:t>
      </w:r>
    </w:p>
    <w:p w14:paraId="1E5303DD" w14:textId="7ED953AE" w:rsidR="00D63BD4" w:rsidRDefault="00D63BD4" w:rsidP="00307842">
      <w:pPr>
        <w:ind w:firstLine="0"/>
      </w:pPr>
      <w:r>
        <w:rPr>
          <w:b/>
          <w:bCs/>
        </w:rPr>
        <w:t>First-Year Nursing Students</w:t>
      </w:r>
    </w:p>
    <w:p w14:paraId="22030367" w14:textId="739AF3B8" w:rsidR="006946A0" w:rsidRDefault="00D63BD4" w:rsidP="00C95878">
      <w:pPr>
        <w:ind w:firstLine="0"/>
      </w:pPr>
      <w:r>
        <w:tab/>
      </w:r>
      <w:r w:rsidR="00FA16AF">
        <w:t>The American Freshmen National Norms Study</w:t>
      </w:r>
      <w:r>
        <w:t xml:space="preserve"> show</w:t>
      </w:r>
      <w:r w:rsidR="00FA16AF">
        <w:t>ed</w:t>
      </w:r>
      <w:r>
        <w:t xml:space="preserve"> freshmen have higher levels of stress and decrease</w:t>
      </w:r>
      <w:r w:rsidR="00B11EA1">
        <w:t>d</w:t>
      </w:r>
      <w:r>
        <w:t xml:space="preserve"> emotional well-being compared to other undergraduate students (Garett</w:t>
      </w:r>
      <w:r w:rsidR="008A34FA">
        <w:t xml:space="preserve"> et al., </w:t>
      </w:r>
      <w:r>
        <w:t xml:space="preserve">2017). </w:t>
      </w:r>
      <w:r w:rsidR="000E2FC9">
        <w:t>F</w:t>
      </w:r>
      <w:r w:rsidR="00842A7E">
        <w:t xml:space="preserve">eelings of overwhelming anxiety </w:t>
      </w:r>
      <w:r w:rsidR="00FA7C2E">
        <w:t>are</w:t>
      </w:r>
      <w:r w:rsidR="00842A7E">
        <w:t xml:space="preserve"> often higher in female students (67.7%) compared to male students (47.4%) (Tran</w:t>
      </w:r>
      <w:r w:rsidR="008A34FA">
        <w:t xml:space="preserve"> et al., </w:t>
      </w:r>
      <w:r w:rsidR="00842A7E">
        <w:t xml:space="preserve">2018). </w:t>
      </w:r>
      <w:r w:rsidR="005A7F65">
        <w:t>Nursing students are exposed to</w:t>
      </w:r>
      <w:r w:rsidR="00FA7C2E">
        <w:t xml:space="preserve"> a</w:t>
      </w:r>
      <w:r w:rsidR="005A7F65">
        <w:t xml:space="preserve"> </w:t>
      </w:r>
      <w:r w:rsidR="0048226C">
        <w:t>higher level of stress</w:t>
      </w:r>
      <w:r w:rsidR="005A7F65">
        <w:t xml:space="preserve"> compared to other </w:t>
      </w:r>
      <w:r w:rsidR="00C95878">
        <w:t xml:space="preserve">majors </w:t>
      </w:r>
      <w:r w:rsidR="005A7F65">
        <w:t>(Labrague, McEnroe-Petitte, Gloe</w:t>
      </w:r>
      <w:r w:rsidR="008A34FA">
        <w:t xml:space="preserve">, et al., </w:t>
      </w:r>
      <w:r w:rsidR="005A7F65">
        <w:t>2017). Nursing programs have two major areas of stress, the academic</w:t>
      </w:r>
      <w:r w:rsidR="00364DD4">
        <w:t xml:space="preserve"> or didactic section</w:t>
      </w:r>
      <w:r w:rsidR="005A7F65">
        <w:t xml:space="preserve"> and </w:t>
      </w:r>
      <w:r w:rsidR="00364DD4">
        <w:t xml:space="preserve">the </w:t>
      </w:r>
      <w:r w:rsidR="005A7F65">
        <w:t xml:space="preserve">clinical portion. The academic burden of assignments, workload, examinations, and large readings </w:t>
      </w:r>
      <w:r w:rsidR="005A7F65">
        <w:lastRenderedPageBreak/>
        <w:t xml:space="preserve">assignments </w:t>
      </w:r>
      <w:r w:rsidR="00364DD4">
        <w:t>coupled with</w:t>
      </w:r>
      <w:r w:rsidR="000E2FC9">
        <w:t xml:space="preserve"> </w:t>
      </w:r>
      <w:r w:rsidR="00FA16AF">
        <w:t xml:space="preserve">the </w:t>
      </w:r>
      <w:r w:rsidR="005A7F65">
        <w:t>clinical burden of caring for patients, feelings of incompetence,</w:t>
      </w:r>
      <w:r w:rsidR="0048226C">
        <w:t xml:space="preserve"> </w:t>
      </w:r>
      <w:r w:rsidR="005A7F65">
        <w:t xml:space="preserve">inexperience </w:t>
      </w:r>
      <w:r w:rsidR="00FA16AF">
        <w:t>in the</w:t>
      </w:r>
      <w:r w:rsidR="005A7F65">
        <w:t xml:space="preserve"> health care system, death and dying of patients, </w:t>
      </w:r>
      <w:r w:rsidR="00FC0A03">
        <w:t xml:space="preserve">fear of harming patients, and being unfamiliar with disease processes and treatments all increase </w:t>
      </w:r>
      <w:r w:rsidR="00FA16AF">
        <w:t xml:space="preserve">FYNS </w:t>
      </w:r>
      <w:r w:rsidR="00FC0A03">
        <w:t xml:space="preserve">stress. </w:t>
      </w:r>
      <w:r w:rsidR="00A71514">
        <w:t>Studies have shown when nursing students struggle with disproportionate levels of anxiety their incentive to study</w:t>
      </w:r>
      <w:r w:rsidR="005814D7">
        <w:t>, competence, and drive to become a nurse is negatively impacted (Sun</w:t>
      </w:r>
      <w:r w:rsidR="008A34FA">
        <w:t xml:space="preserve"> et al., </w:t>
      </w:r>
      <w:r w:rsidR="005814D7">
        <w:t xml:space="preserve">2016). </w:t>
      </w:r>
      <w:r w:rsidR="004012EA" w:rsidRPr="00C95878">
        <w:t>The goal of this research is to determine if a specific coping style</w:t>
      </w:r>
      <w:r w:rsidR="00FE793B">
        <w:t xml:space="preserve"> was</w:t>
      </w:r>
      <w:r w:rsidR="004012EA" w:rsidRPr="00C95878">
        <w:t xml:space="preserve"> </w:t>
      </w:r>
      <w:r w:rsidR="00364DD4">
        <w:t>utilized</w:t>
      </w:r>
      <w:r w:rsidR="004012EA" w:rsidRPr="00C95878">
        <w:t xml:space="preserve"> by </w:t>
      </w:r>
      <w:r w:rsidR="00FA16AF">
        <w:t>FYNS</w:t>
      </w:r>
      <w:r w:rsidR="004012EA" w:rsidRPr="00C95878">
        <w:t xml:space="preserve"> who may or may not experience anxiety</w:t>
      </w:r>
      <w:r w:rsidR="00803A60">
        <w:t xml:space="preserve"> then </w:t>
      </w:r>
      <w:r w:rsidR="00364DD4">
        <w:t xml:space="preserve">to </w:t>
      </w:r>
      <w:r w:rsidR="00803A60">
        <w:t xml:space="preserve">develop </w:t>
      </w:r>
      <w:r w:rsidR="0048226C">
        <w:t xml:space="preserve">a </w:t>
      </w:r>
      <w:r w:rsidR="00803A60">
        <w:t>teachable intervention to help decrease feelings of anxiety</w:t>
      </w:r>
      <w:r w:rsidR="004012EA" w:rsidRPr="00C95878">
        <w:t>.</w:t>
      </w:r>
      <w:r w:rsidR="004012EA">
        <w:t xml:space="preserve"> </w:t>
      </w:r>
    </w:p>
    <w:p w14:paraId="25D92643" w14:textId="2C4AEE0C" w:rsidR="00E50ADB" w:rsidRDefault="00E50ADB" w:rsidP="00E50ADB">
      <w:pPr>
        <w:ind w:firstLine="0"/>
        <w:jc w:val="center"/>
      </w:pPr>
      <w:r>
        <w:rPr>
          <w:b/>
          <w:bCs/>
        </w:rPr>
        <w:t>Theory</w:t>
      </w:r>
    </w:p>
    <w:p w14:paraId="519B2005" w14:textId="55D23A7C" w:rsidR="00E50ADB" w:rsidRPr="00E50ADB" w:rsidRDefault="00C95878" w:rsidP="00E50ADB">
      <w:pPr>
        <w:ind w:firstLine="0"/>
      </w:pPr>
      <w:r>
        <w:tab/>
      </w:r>
      <w:r w:rsidR="00364DD4">
        <w:t>I</w:t>
      </w:r>
      <w:r w:rsidR="009B50C4">
        <w:t>n Stress, Appraisal, and Coping (1984)</w:t>
      </w:r>
      <w:r w:rsidR="00546CA1">
        <w:t>, Lazarus and Folkman discussed stress and coping by</w:t>
      </w:r>
      <w:r w:rsidR="009B50C4">
        <w:t xml:space="preserve"> examining the relationship</w:t>
      </w:r>
      <w:r w:rsidR="0048226C">
        <w:t xml:space="preserve"> between</w:t>
      </w:r>
      <w:r w:rsidR="009B50C4">
        <w:t xml:space="preserve"> how individuals perceive </w:t>
      </w:r>
      <w:r w:rsidR="00F220A9">
        <w:t xml:space="preserve">or appraise </w:t>
      </w:r>
      <w:r w:rsidR="009B50C4">
        <w:t xml:space="preserve">external and internal demands using personal and social sources. </w:t>
      </w:r>
      <w:r w:rsidR="00FA16AF">
        <w:t>The terms a</w:t>
      </w:r>
      <w:r w:rsidR="00F220A9">
        <w:t xml:space="preserve">nxiety and stress </w:t>
      </w:r>
      <w:r w:rsidR="00FA16AF">
        <w:t>have been</w:t>
      </w:r>
      <w:r w:rsidR="00F220A9">
        <w:t xml:space="preserve"> intertangled</w:t>
      </w:r>
      <w:r w:rsidR="00FA16AF">
        <w:t xml:space="preserve"> since </w:t>
      </w:r>
      <w:r w:rsidR="00F220A9">
        <w:t>the mid 20</w:t>
      </w:r>
      <w:r w:rsidR="00F220A9" w:rsidRPr="00F220A9">
        <w:rPr>
          <w:vertAlign w:val="superscript"/>
        </w:rPr>
        <w:t>th</w:t>
      </w:r>
      <w:r w:rsidR="00F220A9">
        <w:t xml:space="preserve"> century</w:t>
      </w:r>
      <w:r w:rsidR="00FA16AF">
        <w:t xml:space="preserve"> </w:t>
      </w:r>
      <w:r w:rsidR="00F220A9">
        <w:t>by researchers due to overlap</w:t>
      </w:r>
      <w:r w:rsidR="00FA16AF">
        <w:t>ping</w:t>
      </w:r>
      <w:r w:rsidR="00F220A9">
        <w:t xml:space="preserve"> in re</w:t>
      </w:r>
      <w:r w:rsidR="000A635C">
        <w:t>search and concepts</w:t>
      </w:r>
      <w:r w:rsidR="00F220A9">
        <w:t xml:space="preserve">. </w:t>
      </w:r>
      <w:r w:rsidR="00167890">
        <w:t xml:space="preserve">It was then later </w:t>
      </w:r>
      <w:r w:rsidR="00FA16AF">
        <w:t xml:space="preserve">determined </w:t>
      </w:r>
      <w:r w:rsidR="00F220A9">
        <w:t xml:space="preserve">the psychopathology of anxiety </w:t>
      </w:r>
      <w:r w:rsidR="00DD141F">
        <w:t>is</w:t>
      </w:r>
      <w:r w:rsidR="00F220A9">
        <w:t xml:space="preserve"> a product of stress (Lazarus &amp; Folkman, 1984). </w:t>
      </w:r>
      <w:r w:rsidR="000A635C">
        <w:t>Stress has multiple variables and processes in which the</w:t>
      </w:r>
      <w:r w:rsidR="00FA16AF">
        <w:t xml:space="preserve"> </w:t>
      </w:r>
      <w:r w:rsidR="000A635C">
        <w:t xml:space="preserve">person </w:t>
      </w:r>
      <w:r w:rsidR="00FA16AF">
        <w:t>must appraise and adjust to their ever-changing</w:t>
      </w:r>
      <w:r w:rsidR="000A635C">
        <w:t xml:space="preserve"> environment. The definition </w:t>
      </w:r>
      <w:r w:rsidR="00FA16AF">
        <w:t xml:space="preserve">of stress </w:t>
      </w:r>
      <w:r w:rsidR="000A635C">
        <w:t xml:space="preserve">developed by Lazarus and Folkman </w:t>
      </w:r>
      <w:r w:rsidR="00FE793B">
        <w:t>was</w:t>
      </w:r>
      <w:r w:rsidR="00167890">
        <w:t xml:space="preserve"> described as a</w:t>
      </w:r>
      <w:r w:rsidR="000A635C">
        <w:t xml:space="preserve"> particular relationship between the individual and environment appraised by the individual as taxing or exceeding their resources and endangering their well-being (Lazarus &amp; Folkman, 1984). </w:t>
      </w:r>
      <w:r w:rsidR="00E121D0">
        <w:t xml:space="preserve">This definition </w:t>
      </w:r>
      <w:r w:rsidR="00546CA1">
        <w:t xml:space="preserve">inspired </w:t>
      </w:r>
      <w:r w:rsidR="00E121D0">
        <w:t xml:space="preserve">research </w:t>
      </w:r>
      <w:r w:rsidR="000E2FC9">
        <w:t xml:space="preserve">to </w:t>
      </w:r>
      <w:r w:rsidR="00546CA1">
        <w:t>examine</w:t>
      </w:r>
      <w:r w:rsidR="00E121D0">
        <w:t xml:space="preserve"> how anxiety impacts learning, memory, perception, and skill performance based upon </w:t>
      </w:r>
      <w:r w:rsidR="000E2FC9">
        <w:t xml:space="preserve">the use of </w:t>
      </w:r>
      <w:r w:rsidR="00E121D0">
        <w:t xml:space="preserve">coping. </w:t>
      </w:r>
      <w:r w:rsidR="000A635C">
        <w:t>Lazarus and Folkman</w:t>
      </w:r>
      <w:r w:rsidR="00894C9D">
        <w:t xml:space="preserve"> wanted to determine what caused stress in different individuals </w:t>
      </w:r>
      <w:r w:rsidR="00167890">
        <w:t>which led</w:t>
      </w:r>
      <w:r w:rsidR="00894C9D">
        <w:t xml:space="preserve"> them to examine the person-environmental relationship through cognitive appraisal and coping. </w:t>
      </w:r>
    </w:p>
    <w:p w14:paraId="0C8713F9" w14:textId="254D71AD" w:rsidR="007D4967" w:rsidRDefault="007D4967" w:rsidP="007D4967">
      <w:pPr>
        <w:ind w:firstLine="0"/>
        <w:jc w:val="center"/>
        <w:rPr>
          <w:b/>
          <w:bCs/>
        </w:rPr>
      </w:pPr>
      <w:r>
        <w:rPr>
          <w:b/>
          <w:bCs/>
        </w:rPr>
        <w:lastRenderedPageBreak/>
        <w:t>Methodology</w:t>
      </w:r>
    </w:p>
    <w:p w14:paraId="6FC7B0C1" w14:textId="22182551" w:rsidR="00D77248" w:rsidRDefault="003F5B5C" w:rsidP="003F5B5C">
      <w:pPr>
        <w:ind w:firstLine="0"/>
      </w:pPr>
      <w:r>
        <w:rPr>
          <w:b/>
          <w:bCs/>
        </w:rPr>
        <w:tab/>
      </w:r>
      <w:r>
        <w:t>The study protocol was approved by Purdue University Institutional Review Board (IRB). Students were provided with a description of the study and</w:t>
      </w:r>
      <w:r w:rsidR="005604E4">
        <w:t xml:space="preserve"> </w:t>
      </w:r>
      <w:r>
        <w:t>goals of the study</w:t>
      </w:r>
      <w:r w:rsidR="0048226C">
        <w:t xml:space="preserve"> </w:t>
      </w:r>
      <w:r w:rsidR="00546CA1">
        <w:t xml:space="preserve">prior to </w:t>
      </w:r>
      <w:r>
        <w:t>complet</w:t>
      </w:r>
      <w:r w:rsidR="00411E8E">
        <w:t>ing</w:t>
      </w:r>
      <w:r w:rsidR="00546CA1">
        <w:t xml:space="preserve"> the questionnaire</w:t>
      </w:r>
      <w:r>
        <w:t xml:space="preserve">. </w:t>
      </w:r>
    </w:p>
    <w:p w14:paraId="1C01B95E" w14:textId="77777777" w:rsidR="00395FEA" w:rsidRPr="00D77248" w:rsidRDefault="00395FEA" w:rsidP="00395FEA">
      <w:pPr>
        <w:ind w:firstLine="0"/>
        <w:rPr>
          <w:b/>
          <w:bCs/>
        </w:rPr>
      </w:pPr>
      <w:r w:rsidRPr="00D77248">
        <w:rPr>
          <w:b/>
          <w:bCs/>
        </w:rPr>
        <w:t>Study Design</w:t>
      </w:r>
    </w:p>
    <w:p w14:paraId="093115B5" w14:textId="1A747A88" w:rsidR="00395FEA" w:rsidRPr="003F5B5C" w:rsidRDefault="00395FEA" w:rsidP="00395FEA">
      <w:r>
        <w:t xml:space="preserve">This was a mixed-method, cross-sectional study. First-year nursing students were emailed a questionnaire in the middle </w:t>
      </w:r>
      <w:r w:rsidR="00546CA1">
        <w:t xml:space="preserve">of the </w:t>
      </w:r>
      <w:r>
        <w:t>fall semester of 2020.</w:t>
      </w:r>
      <w:r w:rsidR="00167890">
        <w:t xml:space="preserve"> </w:t>
      </w:r>
      <w:r w:rsidR="00B11EA1">
        <w:t xml:space="preserve">Before </w:t>
      </w:r>
      <w:r w:rsidR="00546CA1">
        <w:t xml:space="preserve">beginning, </w:t>
      </w:r>
      <w:r w:rsidR="00B11EA1">
        <w:t xml:space="preserve">the survey instruction </w:t>
      </w:r>
      <w:proofErr w:type="gramStart"/>
      <w:r>
        <w:t>were</w:t>
      </w:r>
      <w:proofErr w:type="gramEnd"/>
      <w:r>
        <w:t xml:space="preserve"> provided</w:t>
      </w:r>
      <w:r w:rsidR="00B11EA1">
        <w:t xml:space="preserve"> and contact information of the lead researchers</w:t>
      </w:r>
      <w:r>
        <w:t xml:space="preserve">. A link within the email allowed students to complete the survey through Qualtrics. </w:t>
      </w:r>
      <w:r w:rsidR="00411E8E">
        <w:t>T</w:t>
      </w:r>
      <w:r w:rsidR="005604E4">
        <w:t xml:space="preserve">he </w:t>
      </w:r>
      <w:proofErr w:type="gramStart"/>
      <w:r>
        <w:t>first</w:t>
      </w:r>
      <w:r w:rsidR="005604E4">
        <w:t>-</w:t>
      </w:r>
      <w:r>
        <w:t>page</w:t>
      </w:r>
      <w:proofErr w:type="gramEnd"/>
      <w:r>
        <w:t xml:space="preserve"> </w:t>
      </w:r>
      <w:r w:rsidR="00411E8E">
        <w:t xml:space="preserve">gathered </w:t>
      </w:r>
      <w:r>
        <w:t>personal demographic informatio</w:t>
      </w:r>
      <w:r w:rsidR="00411E8E">
        <w:t xml:space="preserve">n </w:t>
      </w:r>
      <w:r w:rsidR="00546CA1">
        <w:t xml:space="preserve">followed by </w:t>
      </w:r>
      <w:r w:rsidR="00862879">
        <w:t xml:space="preserve">two scales and </w:t>
      </w:r>
      <w:r w:rsidR="00546CA1">
        <w:t xml:space="preserve">then the students </w:t>
      </w:r>
      <w:r w:rsidR="00862879">
        <w:t xml:space="preserve">answered </w:t>
      </w:r>
      <w:r w:rsidR="00546CA1">
        <w:t xml:space="preserve">a series of </w:t>
      </w:r>
      <w:r w:rsidR="00862879">
        <w:t>opened-ended questions</w:t>
      </w:r>
      <w:r>
        <w:t xml:space="preserve">. </w:t>
      </w:r>
      <w:r w:rsidR="00546CA1">
        <w:t>Upon completion, s</w:t>
      </w:r>
      <w:r>
        <w:t>tudents were</w:t>
      </w:r>
      <w:r w:rsidR="00862879">
        <w:t xml:space="preserve"> </w:t>
      </w:r>
      <w:r w:rsidR="005604E4">
        <w:t>also able</w:t>
      </w:r>
      <w:r>
        <w:t xml:space="preserve"> to </w:t>
      </w:r>
      <w:r w:rsidR="005604E4">
        <w:t>enter</w:t>
      </w:r>
      <w:r>
        <w:t xml:space="preserve"> a random drawing upon completi</w:t>
      </w:r>
      <w:r w:rsidR="00862879">
        <w:t>ng</w:t>
      </w:r>
      <w:r>
        <w:t xml:space="preserve"> the survey for two $50 Amazon gift cards by clicking on an external link and entering their email addresses. Students w</w:t>
      </w:r>
      <w:r w:rsidR="000E2FC9">
        <w:t>ere only</w:t>
      </w:r>
      <w:r>
        <w:t xml:space="preserve"> surveyed one time during the semester.   </w:t>
      </w:r>
    </w:p>
    <w:p w14:paraId="7D680E83" w14:textId="2DE4290E" w:rsidR="00395FEA" w:rsidRDefault="00395FEA" w:rsidP="003F5B5C">
      <w:pPr>
        <w:ind w:firstLine="0"/>
      </w:pPr>
      <w:r>
        <w:tab/>
      </w:r>
      <w:r>
        <w:rPr>
          <w:b/>
          <w:bCs/>
          <w:i/>
          <w:iCs/>
        </w:rPr>
        <w:t>Personal Health Information</w:t>
      </w:r>
      <w:r>
        <w:t>. First-year nursing students answered questions regarding their age, sex, education level, ethnicity, residence, previous nursing experience, interest in nursing, history of anxiety</w:t>
      </w:r>
      <w:r w:rsidR="000E2FC9">
        <w:t>,</w:t>
      </w:r>
      <w:r>
        <w:t xml:space="preserve"> and if </w:t>
      </w:r>
      <w:r w:rsidR="000E2FC9">
        <w:t>currently taking</w:t>
      </w:r>
      <w:r>
        <w:t xml:space="preserve"> </w:t>
      </w:r>
      <w:r w:rsidR="00411E8E">
        <w:t xml:space="preserve">prescription </w:t>
      </w:r>
      <w:r>
        <w:t xml:space="preserve">medication(s). Students also answered questions regarding past or present history in the healthcare field and if they smoke, drink, or use caffeine. </w:t>
      </w:r>
    </w:p>
    <w:p w14:paraId="786A3C96" w14:textId="77777777" w:rsidR="00395FEA" w:rsidRPr="00AE546E" w:rsidRDefault="00395FEA" w:rsidP="00395FEA">
      <w:pPr>
        <w:ind w:firstLine="0"/>
        <w:rPr>
          <w:b/>
          <w:bCs/>
        </w:rPr>
      </w:pPr>
      <w:r w:rsidRPr="00AE546E">
        <w:rPr>
          <w:b/>
          <w:bCs/>
        </w:rPr>
        <w:t>Inclusion/Exclusion</w:t>
      </w:r>
    </w:p>
    <w:p w14:paraId="3E951598" w14:textId="269EBD02" w:rsidR="00395FEA" w:rsidRDefault="00395FEA" w:rsidP="003F5B5C">
      <w:pPr>
        <w:ind w:firstLine="0"/>
      </w:pPr>
      <w:r>
        <w:tab/>
        <w:t xml:space="preserve">All first or </w:t>
      </w:r>
      <w:proofErr w:type="gramStart"/>
      <w:r w:rsidR="001D2DB2">
        <w:t>second</w:t>
      </w:r>
      <w:r w:rsidR="00AC654E">
        <w:t>-</w:t>
      </w:r>
      <w:r w:rsidR="001D2DB2">
        <w:t>semester</w:t>
      </w:r>
      <w:proofErr w:type="gramEnd"/>
      <w:r>
        <w:t xml:space="preserve"> FYN</w:t>
      </w:r>
      <w:r w:rsidR="00411E8E">
        <w:t>S</w:t>
      </w:r>
      <w:r>
        <w:t xml:space="preserve"> w</w:t>
      </w:r>
      <w:r w:rsidR="008D7C3E">
        <w:t>ere</w:t>
      </w:r>
      <w:r>
        <w:t xml:space="preserve"> included in </w:t>
      </w:r>
      <w:r w:rsidR="008D7C3E">
        <w:t>the survey</w:t>
      </w:r>
      <w:r>
        <w:t xml:space="preserve">. First-year nursing students </w:t>
      </w:r>
      <w:r w:rsidR="00862879">
        <w:t>were</w:t>
      </w:r>
      <w:r>
        <w:t xml:space="preserve"> defined as those who have declared nursing as their major, students who have changed their major to nursing, and those who have a previous undergraduate degree in the non-nursing field</w:t>
      </w:r>
      <w:r w:rsidR="00411E8E">
        <w:t xml:space="preserve"> and were in their first year of nursing school</w:t>
      </w:r>
      <w:r>
        <w:t xml:space="preserve">. Students who are further along in the </w:t>
      </w:r>
      <w:r>
        <w:lastRenderedPageBreak/>
        <w:t>nursing program w</w:t>
      </w:r>
      <w:r w:rsidR="008D7C3E">
        <w:t>ere</w:t>
      </w:r>
      <w:r>
        <w:t xml:space="preserve"> excluded. Those students who </w:t>
      </w:r>
      <w:r w:rsidR="008D7C3E">
        <w:t>were</w:t>
      </w:r>
      <w:r>
        <w:t xml:space="preserve"> not 18 years old or older were excluded. There w</w:t>
      </w:r>
      <w:r w:rsidR="00411E8E">
        <w:t>as</w:t>
      </w:r>
      <w:r>
        <w:t xml:space="preserve"> no exclusion for past or current mental health diagnoses. </w:t>
      </w:r>
    </w:p>
    <w:p w14:paraId="15EF2F26" w14:textId="77777777" w:rsidR="00A00374" w:rsidRDefault="00A00374" w:rsidP="00A00374">
      <w:pPr>
        <w:ind w:firstLine="0"/>
        <w:rPr>
          <w:b/>
          <w:bCs/>
        </w:rPr>
      </w:pPr>
      <w:r w:rsidRPr="00EA267A">
        <w:rPr>
          <w:b/>
          <w:bCs/>
        </w:rPr>
        <w:t>Measures/Variables</w:t>
      </w:r>
    </w:p>
    <w:p w14:paraId="146C330D" w14:textId="3449E706" w:rsidR="00A00374" w:rsidRDefault="00A00374" w:rsidP="003F5B5C">
      <w:pPr>
        <w:ind w:firstLine="0"/>
      </w:pPr>
      <w:r>
        <w:rPr>
          <w:b/>
          <w:bCs/>
        </w:rPr>
        <w:tab/>
      </w:r>
      <w:r>
        <w:t>The data gathered in this study include</w:t>
      </w:r>
      <w:r w:rsidR="008D7C3E">
        <w:t>d</w:t>
      </w:r>
      <w:r>
        <w:t xml:space="preserve"> personal demographics, students’ </w:t>
      </w:r>
      <w:r w:rsidR="00411E8E">
        <w:t xml:space="preserve">preferred </w:t>
      </w:r>
      <w:r>
        <w:t>coping style</w:t>
      </w:r>
      <w:r w:rsidR="0048226C">
        <w:t>s</w:t>
      </w:r>
      <w:r>
        <w:t>, and if they are experiencing anxiety</w:t>
      </w:r>
      <w:r w:rsidR="008D7C3E">
        <w:t xml:space="preserve"> or have baseline anxiety</w:t>
      </w:r>
      <w:r>
        <w:t>. To determine the coping style</w:t>
      </w:r>
      <w:r w:rsidR="00862879">
        <w:t xml:space="preserve"> used by students the</w:t>
      </w:r>
      <w:r>
        <w:t xml:space="preserve"> Academic Coping Strategies Scale (ACSS)</w:t>
      </w:r>
      <w:r w:rsidR="00862879">
        <w:t xml:space="preserve"> </w:t>
      </w:r>
      <w:r>
        <w:t>was u</w:t>
      </w:r>
      <w:r w:rsidR="00546CA1">
        <w:t>tilized</w:t>
      </w:r>
      <w:r w:rsidR="00B11EA1">
        <w:t xml:space="preserve"> with</w:t>
      </w:r>
      <w:r w:rsidR="00F32C1C">
        <w:t xml:space="preserve"> </w:t>
      </w:r>
      <w:r w:rsidR="00411E8E">
        <w:t>34</w:t>
      </w:r>
      <w:r w:rsidR="001728D6">
        <w:t xml:space="preserve"> questions. </w:t>
      </w:r>
      <w:r w:rsidR="00862879">
        <w:t>The second section of the survey</w:t>
      </w:r>
      <w:r w:rsidR="00546CA1">
        <w:t>, consisting of 40 questions,</w:t>
      </w:r>
      <w:r w:rsidR="00862879">
        <w:t xml:space="preserve"> used</w:t>
      </w:r>
      <w:r>
        <w:t xml:space="preserve"> the State-Trait Anxiety Inventory (STAI) </w:t>
      </w:r>
      <w:r w:rsidR="00411E8E">
        <w:t>scale to</w:t>
      </w:r>
      <w:r>
        <w:t xml:space="preserve"> determine the presence and severity of current </w:t>
      </w:r>
      <w:r w:rsidR="00862879">
        <w:t xml:space="preserve">anxiety </w:t>
      </w:r>
      <w:r>
        <w:t>symptoms and</w:t>
      </w:r>
      <w:r w:rsidR="00862879">
        <w:t xml:space="preserve"> whether there was a</w:t>
      </w:r>
      <w:r w:rsidR="0048226C">
        <w:t xml:space="preserve"> </w:t>
      </w:r>
      <w:r>
        <w:t>tendency to have anxiety as a persisting trait.</w:t>
      </w:r>
      <w:r w:rsidR="00862879">
        <w:t xml:space="preserve"> </w:t>
      </w:r>
      <w:r w:rsidR="001728D6">
        <w:t>The last questions were open-ended asking students to rate how successful they feel like they will be in the nursing program based upon their current progress, what have they found to be the most anxious situation of nursing school, and how the pandemic has affected their progress through nursing school.</w:t>
      </w:r>
    </w:p>
    <w:p w14:paraId="762562A4" w14:textId="6EF2677C" w:rsidR="001728D6" w:rsidRDefault="001728D6" w:rsidP="001728D6">
      <w:r>
        <w:rPr>
          <w:b/>
          <w:bCs/>
          <w:i/>
          <w:iCs/>
        </w:rPr>
        <w:t>Anxiety</w:t>
      </w:r>
      <w:r>
        <w:t xml:space="preserve">. State-Trait Anxiety Inventory contains </w:t>
      </w:r>
      <w:r w:rsidR="00546CA1">
        <w:t>two</w:t>
      </w:r>
      <w:r>
        <w:t xml:space="preserve"> subscales each containing 20 questions for a total of 40 questions. The STAI measures two different types of anxiety: state anxiety and trait anxiety. State </w:t>
      </w:r>
      <w:r w:rsidR="00546CA1">
        <w:t>a</w:t>
      </w:r>
      <w:r>
        <w:t xml:space="preserve">nxiety is defined as feelings </w:t>
      </w:r>
      <w:r w:rsidR="00862879">
        <w:t xml:space="preserve">of anxiety </w:t>
      </w:r>
      <w:r>
        <w:t>felt after a specific event</w:t>
      </w:r>
      <w:r w:rsidR="008D7C3E">
        <w:t xml:space="preserve">. </w:t>
      </w:r>
      <w:r>
        <w:t xml:space="preserve">Trait </w:t>
      </w:r>
      <w:r w:rsidR="00546CA1">
        <w:t>a</w:t>
      </w:r>
      <w:r>
        <w:t xml:space="preserve">nxiety examines </w:t>
      </w:r>
      <w:r w:rsidR="0048226C">
        <w:t xml:space="preserve">the </w:t>
      </w:r>
      <w:r>
        <w:t xml:space="preserve">general feelings of </w:t>
      </w:r>
      <w:r w:rsidR="00182E02">
        <w:t xml:space="preserve">anxiety </w:t>
      </w:r>
      <w:r w:rsidR="00546CA1">
        <w:t xml:space="preserve">of </w:t>
      </w:r>
      <w:r>
        <w:t>the student</w:t>
      </w:r>
      <w:r w:rsidR="005604E4">
        <w:t>,</w:t>
      </w:r>
      <w:r>
        <w:t xml:space="preserve"> not </w:t>
      </w:r>
      <w:r w:rsidR="00182E02">
        <w:t>over</w:t>
      </w:r>
      <w:r>
        <w:t xml:space="preserve"> a specific time or event (Ok, Kutlu, &amp; Ates, 2020). The questions were obtained from Mind Garden, Inc allowing the retyping of the questions into Qualtrics. Students ranked the intensity of current feelings </w:t>
      </w:r>
      <w:r w:rsidR="00B011E5">
        <w:t xml:space="preserve">of anxiety </w:t>
      </w:r>
      <w:r>
        <w:t xml:space="preserve">on a scale of 1 (not at all) to 4 (very much so) </w:t>
      </w:r>
      <w:r w:rsidR="00182E02">
        <w:t xml:space="preserve">for state anxiety </w:t>
      </w:r>
      <w:r>
        <w:t xml:space="preserve">and feelings </w:t>
      </w:r>
      <w:r w:rsidR="00B011E5">
        <w:t xml:space="preserve">of baseline anxiety </w:t>
      </w:r>
      <w:r>
        <w:t xml:space="preserve">on a scale of 1 (almost never) to 4 (almost always) for the trait portion. The alpha coefficient </w:t>
      </w:r>
      <w:r w:rsidR="00B011E5">
        <w:t xml:space="preserve">overall </w:t>
      </w:r>
      <w:r>
        <w:t xml:space="preserve">ranges from 0.86 to 0.95. </w:t>
      </w:r>
      <w:r w:rsidR="00B011E5">
        <w:t xml:space="preserve">The scores for each subscale </w:t>
      </w:r>
      <w:r w:rsidR="00411E8E">
        <w:t>were</w:t>
      </w:r>
      <w:r w:rsidR="00B011E5">
        <w:t xml:space="preserve"> summed but not combined in a total score. </w:t>
      </w:r>
      <w:r>
        <w:t xml:space="preserve">The higher the score the higher amount of anxiety experienced by </w:t>
      </w:r>
      <w:r>
        <w:lastRenderedPageBreak/>
        <w:t>student</w:t>
      </w:r>
      <w:r w:rsidR="00411E8E">
        <w:t>s.</w:t>
      </w:r>
      <w:r>
        <w:t xml:space="preserve"> </w:t>
      </w:r>
      <w:r w:rsidR="001D6598">
        <w:t xml:space="preserve">Range of scores for each scale range from 20-80. </w:t>
      </w:r>
      <w:r>
        <w:t xml:space="preserve">A score of 39-40 is suggestive of clinically significant symptoms of anxiety on the </w:t>
      </w:r>
      <w:r w:rsidR="00182E02">
        <w:t>S</w:t>
      </w:r>
      <w:r>
        <w:t xml:space="preserve">tate </w:t>
      </w:r>
      <w:r w:rsidR="00182E02">
        <w:t xml:space="preserve">Anxiety </w:t>
      </w:r>
      <w:r>
        <w:t xml:space="preserve">scale (Julian, 2011). </w:t>
      </w:r>
      <w:r w:rsidR="001D6598">
        <w:t>The Trait Anxiety scale measure</w:t>
      </w:r>
      <w:r w:rsidR="00182E02">
        <w:t>s</w:t>
      </w:r>
      <w:r w:rsidR="001D6598">
        <w:t xml:space="preserve"> the proneness or longstanding trait of anxiety with a score </w:t>
      </w:r>
      <w:r w:rsidR="00182E02">
        <w:t>of</w:t>
      </w:r>
      <w:r w:rsidR="001D6598">
        <w:t xml:space="preserve"> 42 </w:t>
      </w:r>
      <w:r w:rsidR="00182E02">
        <w:t xml:space="preserve">or </w:t>
      </w:r>
      <w:r w:rsidR="001D6598">
        <w:t xml:space="preserve">higher </w:t>
      </w:r>
      <w:r w:rsidR="00182E02">
        <w:t xml:space="preserve">showing </w:t>
      </w:r>
      <w:r w:rsidR="001D6598">
        <w:t xml:space="preserve">levels of </w:t>
      </w:r>
      <w:r w:rsidR="00182E02">
        <w:t xml:space="preserve">general </w:t>
      </w:r>
      <w:r w:rsidR="001D6598">
        <w:t xml:space="preserve">anxiety (Ok, et al., 2020). </w:t>
      </w:r>
    </w:p>
    <w:p w14:paraId="679B0B0E" w14:textId="6E6CFBFA" w:rsidR="001728D6" w:rsidRDefault="001728D6" w:rsidP="001728D6">
      <w:r>
        <w:rPr>
          <w:b/>
          <w:bCs/>
          <w:i/>
          <w:iCs/>
        </w:rPr>
        <w:t>Coping Style.</w:t>
      </w:r>
      <w:r>
        <w:t xml:space="preserve"> The ACSS </w:t>
      </w:r>
      <w:r w:rsidR="00182E02">
        <w:t>is a</w:t>
      </w:r>
      <w:r>
        <w:t xml:space="preserve"> 34-item questionnaire developed to assess college students’ coping style</w:t>
      </w:r>
      <w:r w:rsidR="0048226C">
        <w:t>s</w:t>
      </w:r>
      <w:r>
        <w:t xml:space="preserve"> within a specific academic stressor (Sullivan, 2010). When answering </w:t>
      </w:r>
      <w:r w:rsidR="005604E4">
        <w:t>questions,</w:t>
      </w:r>
      <w:r>
        <w:t xml:space="preserve"> the prompt was given “Are you getting</w:t>
      </w:r>
      <w:r w:rsidR="0048226C">
        <w:t xml:space="preserve"> </w:t>
      </w:r>
      <w:r>
        <w:t>significant</w:t>
      </w:r>
      <w:r w:rsidR="0048226C">
        <w:t>ly</w:t>
      </w:r>
      <w:r>
        <w:t xml:space="preserve"> lower grade</w:t>
      </w:r>
      <w:r w:rsidR="0048226C">
        <w:t>s</w:t>
      </w:r>
      <w:r>
        <w:t xml:space="preserve"> in nursing courses than what you usually get?” </w:t>
      </w:r>
      <w:r w:rsidR="00182E02">
        <w:t>E</w:t>
      </w:r>
      <w:r>
        <w:t xml:space="preserve">ach question is </w:t>
      </w:r>
      <w:r w:rsidR="00182E02">
        <w:t xml:space="preserve">then </w:t>
      </w:r>
      <w:r>
        <w:t xml:space="preserve">answered with the prefix of, “How often are you using this strategy?” Students then rate on a scale of 1 (never) to 5 (almost always) for each of the 34 questions. </w:t>
      </w:r>
      <w:r w:rsidR="008D7C3E">
        <w:t>This questionnaire ha</w:t>
      </w:r>
      <w:r w:rsidR="00182E02">
        <w:t>d</w:t>
      </w:r>
      <w:r w:rsidR="008D7C3E">
        <w:t xml:space="preserve"> </w:t>
      </w:r>
      <w:r w:rsidR="00546CA1">
        <w:t>three</w:t>
      </w:r>
      <w:r w:rsidR="008D7C3E">
        <w:t xml:space="preserve"> subscales. </w:t>
      </w:r>
      <w:r>
        <w:t xml:space="preserve">These questions </w:t>
      </w:r>
      <w:r w:rsidR="008D7C3E">
        <w:t>were</w:t>
      </w:r>
      <w:r>
        <w:t xml:space="preserve"> used to determine if student</w:t>
      </w:r>
      <w:r w:rsidR="00182E02">
        <w:t>s</w:t>
      </w:r>
      <w:r>
        <w:t xml:space="preserve"> use </w:t>
      </w:r>
      <w:r w:rsidR="00AC654E">
        <w:t xml:space="preserve">the </w:t>
      </w:r>
      <w:r>
        <w:t xml:space="preserve">approach factor, avoidance factor, or social support factor. </w:t>
      </w:r>
      <w:r w:rsidR="0048226C">
        <w:t>S</w:t>
      </w:r>
      <w:r w:rsidR="00B011E5">
        <w:t>pecific questions</w:t>
      </w:r>
      <w:r w:rsidR="0048226C">
        <w:t xml:space="preserve"> </w:t>
      </w:r>
      <w:r w:rsidR="00B011E5">
        <w:t>assess</w:t>
      </w:r>
      <w:r w:rsidR="008D7C3E">
        <w:t>ed</w:t>
      </w:r>
      <w:r w:rsidR="00B011E5">
        <w:t xml:space="preserve"> which coping style </w:t>
      </w:r>
      <w:r w:rsidR="005604E4">
        <w:t>students used</w:t>
      </w:r>
      <w:r w:rsidR="00B011E5">
        <w:t xml:space="preserve"> and scores </w:t>
      </w:r>
      <w:r w:rsidR="008D7C3E">
        <w:t>were</w:t>
      </w:r>
      <w:r w:rsidR="00B011E5">
        <w:t xml:space="preserve"> then summed together to determine which coping style </w:t>
      </w:r>
      <w:r w:rsidR="00182E02">
        <w:t>was used</w:t>
      </w:r>
      <w:r w:rsidR="00B011E5">
        <w:t xml:space="preserve"> most often. </w:t>
      </w:r>
      <w:r>
        <w:t xml:space="preserve">The alpha scores for each factor were: Approach = 0.91, Avoidance = 0.82, and Social Support = 0.81 (Sullivan, 2010). </w:t>
      </w:r>
      <w:r w:rsidR="00182E02">
        <w:t>A</w:t>
      </w:r>
      <w:r>
        <w:t>pproach factor ha</w:t>
      </w:r>
      <w:r w:rsidR="00411E8E">
        <w:t>d</w:t>
      </w:r>
      <w:r>
        <w:t xml:space="preserve"> 15 items </w:t>
      </w:r>
      <w:r w:rsidR="00A957AE">
        <w:t xml:space="preserve">with </w:t>
      </w:r>
      <w:r w:rsidR="00457BE6">
        <w:t xml:space="preserve">a </w:t>
      </w:r>
      <w:r w:rsidR="00A957AE">
        <w:t xml:space="preserve">score ranging from 15 to 75 </w:t>
      </w:r>
      <w:r>
        <w:t>assessing student</w:t>
      </w:r>
      <w:r w:rsidR="0048226C">
        <w:t>’</w:t>
      </w:r>
      <w:r>
        <w:t>s attempts to change the problem, their reaction to the problem, or preparing to handle the problem. Avoidance factor ha</w:t>
      </w:r>
      <w:r w:rsidR="00411E8E">
        <w:t>d</w:t>
      </w:r>
      <w:r>
        <w:t xml:space="preserve"> 11 items </w:t>
      </w:r>
      <w:r w:rsidR="00A957AE">
        <w:t xml:space="preserve">with </w:t>
      </w:r>
      <w:r w:rsidR="00457BE6">
        <w:t xml:space="preserve">a </w:t>
      </w:r>
      <w:r w:rsidR="00A957AE">
        <w:t xml:space="preserve">score ranging from 11 to 55 </w:t>
      </w:r>
      <w:r>
        <w:t xml:space="preserve">assessing the cognitive or behavioral venture in escaping or disengaging from </w:t>
      </w:r>
      <w:r w:rsidR="0048226C">
        <w:t xml:space="preserve">a </w:t>
      </w:r>
      <w:r>
        <w:t xml:space="preserve">stressful situation or environment with no attempt to solve the problem. </w:t>
      </w:r>
      <w:r w:rsidR="00182E02">
        <w:t>S</w:t>
      </w:r>
      <w:r>
        <w:t>ocial support factor ha</w:t>
      </w:r>
      <w:r w:rsidR="00411E8E">
        <w:t>d</w:t>
      </w:r>
      <w:r w:rsidR="00546CA1">
        <w:t xml:space="preserve"> eight</w:t>
      </w:r>
      <w:r>
        <w:t xml:space="preserve"> items </w:t>
      </w:r>
      <w:r w:rsidR="00A957AE">
        <w:t xml:space="preserve">with </w:t>
      </w:r>
      <w:r w:rsidR="00457BE6">
        <w:t xml:space="preserve">a </w:t>
      </w:r>
      <w:r w:rsidR="00A957AE">
        <w:t xml:space="preserve">score ranging from 8 to 40 </w:t>
      </w:r>
      <w:r w:rsidR="008D7C3E">
        <w:t>assessing</w:t>
      </w:r>
      <w:r>
        <w:t xml:space="preserve"> how students seek support from other people to handle or deal with the stress of the problem</w:t>
      </w:r>
      <w:r w:rsidR="002A6235">
        <w:t xml:space="preserve"> (Sullivan, 2010)</w:t>
      </w:r>
      <w:r>
        <w:t xml:space="preserve">. </w:t>
      </w:r>
      <w:r w:rsidR="00514200">
        <w:t xml:space="preserve">Each subscale was summed </w:t>
      </w:r>
      <w:r w:rsidR="00182E02">
        <w:t xml:space="preserve">but not combined </w:t>
      </w:r>
      <w:r w:rsidR="00514200">
        <w:t xml:space="preserve">with high scores indicating </w:t>
      </w:r>
      <w:r w:rsidR="00457BE6">
        <w:t xml:space="preserve">the </w:t>
      </w:r>
      <w:r w:rsidR="00514200">
        <w:t xml:space="preserve">use of </w:t>
      </w:r>
      <w:r w:rsidR="00457BE6">
        <w:t xml:space="preserve">a </w:t>
      </w:r>
      <w:r w:rsidR="00514200">
        <w:t xml:space="preserve">particular coping style. </w:t>
      </w:r>
    </w:p>
    <w:p w14:paraId="79F91F58" w14:textId="270004E9" w:rsidR="00C17619" w:rsidRDefault="00C17619" w:rsidP="00C17619">
      <w:pPr>
        <w:ind w:firstLine="0"/>
        <w:jc w:val="center"/>
        <w:rPr>
          <w:b/>
          <w:bCs/>
        </w:rPr>
      </w:pPr>
      <w:r>
        <w:rPr>
          <w:b/>
          <w:bCs/>
        </w:rPr>
        <w:t>Results</w:t>
      </w:r>
    </w:p>
    <w:p w14:paraId="46C9376F" w14:textId="12309957" w:rsidR="006D7191" w:rsidRPr="006D7191" w:rsidRDefault="006D7191" w:rsidP="006D7191">
      <w:pPr>
        <w:ind w:firstLine="0"/>
      </w:pPr>
      <w:r>
        <w:lastRenderedPageBreak/>
        <w:tab/>
        <w:t xml:space="preserve">There was </w:t>
      </w:r>
      <w:proofErr w:type="gramStart"/>
      <w:r>
        <w:t xml:space="preserve">a </w:t>
      </w:r>
      <w:r w:rsidR="001469EF">
        <w:t>64</w:t>
      </w:r>
      <w:r>
        <w:t xml:space="preserve"> surveys</w:t>
      </w:r>
      <w:proofErr w:type="gramEnd"/>
      <w:r>
        <w:t xml:space="preserve"> completed with 1</w:t>
      </w:r>
      <w:r w:rsidR="001469EF">
        <w:t>5</w:t>
      </w:r>
      <w:r>
        <w:t xml:space="preserve"> missing data or incomplete</w:t>
      </w:r>
      <w:r w:rsidR="001469EF">
        <w:t xml:space="preserve"> for state anxiety and additional </w:t>
      </w:r>
      <w:r w:rsidR="00546CA1">
        <w:t>two</w:t>
      </w:r>
      <w:r w:rsidR="001469EF">
        <w:t xml:space="preserve"> surveys were missing data for trait anxiety</w:t>
      </w:r>
      <w:r>
        <w:t>.</w:t>
      </w:r>
    </w:p>
    <w:p w14:paraId="2A0DE84A" w14:textId="3BD1C01F" w:rsidR="00DE3708" w:rsidRDefault="00DE3708" w:rsidP="00DE3708">
      <w:pPr>
        <w:ind w:firstLine="0"/>
      </w:pPr>
      <w:r w:rsidRPr="00DE3708">
        <w:rPr>
          <w:b/>
          <w:bCs/>
        </w:rPr>
        <w:t>De</w:t>
      </w:r>
      <w:r w:rsidR="00187332">
        <w:rPr>
          <w:b/>
          <w:bCs/>
        </w:rPr>
        <w:t>scriptive Statistics</w:t>
      </w:r>
    </w:p>
    <w:p w14:paraId="78C42878" w14:textId="4AA0DCBF" w:rsidR="00187332" w:rsidRDefault="00187332" w:rsidP="00DE3708">
      <w:pPr>
        <w:ind w:firstLine="0"/>
      </w:pPr>
      <w:r>
        <w:tab/>
      </w:r>
      <w:r w:rsidR="00497C03">
        <w:t xml:space="preserve">There </w:t>
      </w:r>
      <w:proofErr w:type="gramStart"/>
      <w:r w:rsidR="00497C03">
        <w:t>was</w:t>
      </w:r>
      <w:proofErr w:type="gramEnd"/>
      <w:r w:rsidR="00497C03">
        <w:t xml:space="preserve"> </w:t>
      </w:r>
      <w:r w:rsidR="00CF6AF2">
        <w:t>49</w:t>
      </w:r>
      <w:r w:rsidR="00497C03">
        <w:t xml:space="preserve"> surveys completed. The majority of those students who completed the survey were 19-20 years old (7</w:t>
      </w:r>
      <w:r w:rsidR="004C0090">
        <w:t>7</w:t>
      </w:r>
      <w:r w:rsidR="00497C03">
        <w:t>.6%</w:t>
      </w:r>
      <w:r w:rsidR="004C0090">
        <w:t>, N=38</w:t>
      </w:r>
      <w:r w:rsidR="00497C03">
        <w:t>) and were female (98.</w:t>
      </w:r>
      <w:r w:rsidR="004C0090">
        <w:t>0</w:t>
      </w:r>
      <w:r w:rsidR="00497C03">
        <w:t>%</w:t>
      </w:r>
      <w:r w:rsidR="004C0090">
        <w:t>, N=48</w:t>
      </w:r>
      <w:r w:rsidR="00497C03">
        <w:t xml:space="preserve">). </w:t>
      </w:r>
      <w:r w:rsidR="00204FC4">
        <w:t>S</w:t>
      </w:r>
      <w:r w:rsidR="00497C03">
        <w:t>tudents ha</w:t>
      </w:r>
      <w:r w:rsidR="00204FC4">
        <w:t>d</w:t>
      </w:r>
      <w:r w:rsidR="00497C03">
        <w:t xml:space="preserve"> either just started college or had some college experience (8</w:t>
      </w:r>
      <w:r w:rsidR="004C0090">
        <w:t>5.7</w:t>
      </w:r>
      <w:r w:rsidR="00497C03">
        <w:t>%</w:t>
      </w:r>
      <w:r w:rsidR="004C0090">
        <w:t>, N=42</w:t>
      </w:r>
      <w:r w:rsidR="00497C03">
        <w:t>) although 1</w:t>
      </w:r>
      <w:r w:rsidR="004C0090">
        <w:t>4.3</w:t>
      </w:r>
      <w:r w:rsidR="00497C03">
        <w:t>%</w:t>
      </w:r>
      <w:r w:rsidR="004C0090">
        <w:t xml:space="preserve"> (N=7)</w:t>
      </w:r>
      <w:r w:rsidR="00497C03">
        <w:t xml:space="preserve"> had already received a college degree </w:t>
      </w:r>
      <w:r w:rsidR="0048226C">
        <w:t xml:space="preserve">before </w:t>
      </w:r>
      <w:r w:rsidR="00497C03">
        <w:t xml:space="preserve">completing </w:t>
      </w:r>
      <w:r w:rsidR="00275905">
        <w:t xml:space="preserve">the </w:t>
      </w:r>
      <w:r w:rsidR="00497C03">
        <w:t xml:space="preserve">survey. The ethnic background was </w:t>
      </w:r>
      <w:r w:rsidR="004C0090">
        <w:t>79.6</w:t>
      </w:r>
      <w:r w:rsidR="00497C03">
        <w:t>% white</w:t>
      </w:r>
      <w:r w:rsidR="004C0090">
        <w:t xml:space="preserve"> (N=39)</w:t>
      </w:r>
      <w:r w:rsidR="00497C03">
        <w:t xml:space="preserve">, </w:t>
      </w:r>
      <w:r w:rsidR="004C0090">
        <w:t>14.3</w:t>
      </w:r>
      <w:r w:rsidR="00497C03">
        <w:t>% Asian</w:t>
      </w:r>
      <w:r w:rsidR="004C0090">
        <w:t xml:space="preserve"> (N=7)</w:t>
      </w:r>
      <w:r w:rsidR="00497C03">
        <w:t xml:space="preserve">, </w:t>
      </w:r>
      <w:r w:rsidR="004C0090">
        <w:t>4.1</w:t>
      </w:r>
      <w:r w:rsidR="00497C03">
        <w:t xml:space="preserve">% </w:t>
      </w:r>
      <w:r w:rsidR="00204FC4">
        <w:t>B</w:t>
      </w:r>
      <w:r w:rsidR="00497C03">
        <w:t>lack/African American</w:t>
      </w:r>
      <w:r w:rsidR="004C0090">
        <w:t xml:space="preserve"> (N=2)</w:t>
      </w:r>
      <w:r w:rsidR="00497C03">
        <w:t xml:space="preserve">, and </w:t>
      </w:r>
      <w:r w:rsidR="004C0090">
        <w:t>2.0</w:t>
      </w:r>
      <w:r w:rsidR="00497C03">
        <w:t>% Hispanic/</w:t>
      </w:r>
      <w:r w:rsidR="00522C3B">
        <w:t>Latino</w:t>
      </w:r>
      <w:r w:rsidR="004C0090">
        <w:t xml:space="preserve"> (N=1)</w:t>
      </w:r>
      <w:r w:rsidR="00497C03">
        <w:t xml:space="preserve">. </w:t>
      </w:r>
      <w:r w:rsidR="00204FC4">
        <w:t>Most</w:t>
      </w:r>
      <w:r w:rsidR="00497C03">
        <w:t xml:space="preserve"> students lived on campus (6</w:t>
      </w:r>
      <w:r w:rsidR="004C0090">
        <w:t>3.3</w:t>
      </w:r>
      <w:r w:rsidR="00497C03">
        <w:t>%</w:t>
      </w:r>
      <w:r w:rsidR="004C0090">
        <w:t>, N=31</w:t>
      </w:r>
      <w:r w:rsidR="00497C03">
        <w:t>) while 3</w:t>
      </w:r>
      <w:r w:rsidR="004C0090">
        <w:t>2.7% (N=16)</w:t>
      </w:r>
      <w:r w:rsidR="00497C03">
        <w:t xml:space="preserve"> live off</w:t>
      </w:r>
      <w:r w:rsidR="00275905">
        <w:t>-</w:t>
      </w:r>
      <w:r w:rsidR="00497C03">
        <w:t xml:space="preserve">campus, and </w:t>
      </w:r>
      <w:r w:rsidR="004C0090">
        <w:t>4.1</w:t>
      </w:r>
      <w:r w:rsidR="00497C03">
        <w:t>% live</w:t>
      </w:r>
      <w:r w:rsidR="00A90C0B">
        <w:t>d</w:t>
      </w:r>
      <w:r w:rsidR="00497C03">
        <w:t xml:space="preserve"> with their parents</w:t>
      </w:r>
      <w:r w:rsidR="004C0090">
        <w:t xml:space="preserve"> (N=2)</w:t>
      </w:r>
      <w:r w:rsidR="00497C03">
        <w:t>. The majority of students do not have any family members in healthcare (7</w:t>
      </w:r>
      <w:r w:rsidR="004C0090">
        <w:t>1.4</w:t>
      </w:r>
      <w:r w:rsidR="00497C03">
        <w:t>%</w:t>
      </w:r>
      <w:r w:rsidR="004C0090">
        <w:t>, N=35</w:t>
      </w:r>
      <w:r w:rsidR="00497C03">
        <w:t xml:space="preserve">). Most </w:t>
      </w:r>
      <w:r w:rsidR="00F32C1C">
        <w:t xml:space="preserve">students </w:t>
      </w:r>
      <w:r w:rsidR="00497C03">
        <w:t>do not have any nursing experience (9</w:t>
      </w:r>
      <w:r w:rsidR="004C0090">
        <w:t>1.8</w:t>
      </w:r>
      <w:r w:rsidR="00497C03">
        <w:t>%</w:t>
      </w:r>
      <w:r w:rsidR="004C0090">
        <w:t>, N=45</w:t>
      </w:r>
      <w:r w:rsidR="00497C03">
        <w:t>)</w:t>
      </w:r>
      <w:r w:rsidR="00522C3B">
        <w:t xml:space="preserve"> and are not currently working in healthcare (81.</w:t>
      </w:r>
      <w:r w:rsidR="004C0090">
        <w:t>6</w:t>
      </w:r>
      <w:r w:rsidR="00522C3B">
        <w:t>%</w:t>
      </w:r>
      <w:r w:rsidR="004C0090">
        <w:t>, N=40</w:t>
      </w:r>
      <w:r w:rsidR="00522C3B">
        <w:t>)</w:t>
      </w:r>
      <w:r w:rsidR="00497C03">
        <w:t>.</w:t>
      </w:r>
      <w:r w:rsidR="00522C3B">
        <w:t xml:space="preserve"> Students considered themselves in good to excellent health (8</w:t>
      </w:r>
      <w:r w:rsidR="004C0090">
        <w:t>7.7</w:t>
      </w:r>
      <w:r w:rsidR="00522C3B">
        <w:t>%</w:t>
      </w:r>
      <w:r w:rsidR="004C0090">
        <w:t>, N=43</w:t>
      </w:r>
      <w:r w:rsidR="00522C3B">
        <w:t xml:space="preserve">) with only </w:t>
      </w:r>
      <w:r w:rsidR="004C0090">
        <w:t>2.0</w:t>
      </w:r>
      <w:r w:rsidR="00522C3B">
        <w:t>%</w:t>
      </w:r>
      <w:r w:rsidR="004C0090">
        <w:t xml:space="preserve"> (N=1)</w:t>
      </w:r>
      <w:r w:rsidR="00522C3B">
        <w:t xml:space="preserve"> considered their health poor. Current prescription use was 42.</w:t>
      </w:r>
      <w:r w:rsidR="004C0090">
        <w:t>9</w:t>
      </w:r>
      <w:r w:rsidR="00522C3B">
        <w:t>%</w:t>
      </w:r>
      <w:r w:rsidR="004C0090">
        <w:t xml:space="preserve"> (N=21)</w:t>
      </w:r>
      <w:r w:rsidR="00522C3B">
        <w:t xml:space="preserve"> answered yes while 57.</w:t>
      </w:r>
      <w:r w:rsidR="004C0090">
        <w:t>1</w:t>
      </w:r>
      <w:r w:rsidR="00522C3B">
        <w:t>%</w:t>
      </w:r>
      <w:r w:rsidR="004C0090">
        <w:t xml:space="preserve"> (N=28)</w:t>
      </w:r>
      <w:r w:rsidR="00522C3B">
        <w:t xml:space="preserve"> did not. Most ha</w:t>
      </w:r>
      <w:r w:rsidR="00204FC4">
        <w:t>d</w:t>
      </w:r>
      <w:r w:rsidR="00522C3B">
        <w:t xml:space="preserve"> only been taking prescription medication</w:t>
      </w:r>
      <w:r w:rsidR="00A90C0B">
        <w:t>s</w:t>
      </w:r>
      <w:r w:rsidR="00522C3B">
        <w:t xml:space="preserve"> for less than a year (6</w:t>
      </w:r>
      <w:r w:rsidR="004C0090">
        <w:t>9.3</w:t>
      </w:r>
      <w:r w:rsidR="00522C3B">
        <w:t xml:space="preserve">%) while </w:t>
      </w:r>
      <w:r w:rsidR="00907F77">
        <w:t>(</w:t>
      </w:r>
      <w:r w:rsidR="00522C3B">
        <w:t>3</w:t>
      </w:r>
      <w:r w:rsidR="004C0090">
        <w:t>0.6</w:t>
      </w:r>
      <w:r w:rsidR="00522C3B">
        <w:t>%</w:t>
      </w:r>
      <w:r w:rsidR="00907F77">
        <w:t>)</w:t>
      </w:r>
      <w:r w:rsidR="00522C3B">
        <w:t xml:space="preserve"> had been taking medication for greater than a year. </w:t>
      </w:r>
      <w:r w:rsidR="00204FC4">
        <w:t xml:space="preserve">Vastly </w:t>
      </w:r>
      <w:r w:rsidR="00522C3B">
        <w:t xml:space="preserve">students </w:t>
      </w:r>
      <w:r w:rsidR="00411E8E">
        <w:t>were</w:t>
      </w:r>
      <w:r w:rsidR="00522C3B">
        <w:t xml:space="preserve"> non-smokers (98.</w:t>
      </w:r>
      <w:r w:rsidR="004C0090">
        <w:t>0</w:t>
      </w:r>
      <w:r w:rsidR="00522C3B">
        <w:t>%</w:t>
      </w:r>
      <w:r w:rsidR="004C0090">
        <w:t>, N=48</w:t>
      </w:r>
      <w:r w:rsidR="00522C3B">
        <w:t>) and do not consume alcohol (7</w:t>
      </w:r>
      <w:r w:rsidR="004C0090">
        <w:t>1.4</w:t>
      </w:r>
      <w:r w:rsidR="00522C3B">
        <w:t>%</w:t>
      </w:r>
      <w:r w:rsidR="004C0090">
        <w:t>, N=35</w:t>
      </w:r>
      <w:r w:rsidR="00522C3B">
        <w:t>). Caffeine was consumed by 8</w:t>
      </w:r>
      <w:r w:rsidR="004C0090">
        <w:t>5.7</w:t>
      </w:r>
      <w:r w:rsidR="00522C3B">
        <w:t>%</w:t>
      </w:r>
      <w:r w:rsidR="004C0090">
        <w:t xml:space="preserve"> (N=</w:t>
      </w:r>
      <w:r w:rsidR="00BA747B">
        <w:t>42)</w:t>
      </w:r>
      <w:r w:rsidR="00522C3B">
        <w:t xml:space="preserve"> of students. Personal history of anxiety </w:t>
      </w:r>
      <w:r w:rsidR="00A90C0B">
        <w:t xml:space="preserve">was </w:t>
      </w:r>
      <w:r w:rsidR="00522C3B">
        <w:t>present in 4</w:t>
      </w:r>
      <w:r w:rsidR="00BA747B">
        <w:t>9.0</w:t>
      </w:r>
      <w:r w:rsidR="00522C3B">
        <w:t>%</w:t>
      </w:r>
      <w:r w:rsidR="00BA747B">
        <w:t xml:space="preserve"> (N=24)</w:t>
      </w:r>
      <w:r w:rsidR="00522C3B">
        <w:t xml:space="preserve"> and family history of anxiety was 4</w:t>
      </w:r>
      <w:r w:rsidR="00BA747B">
        <w:t>6.9</w:t>
      </w:r>
      <w:r w:rsidR="00522C3B">
        <w:t>%</w:t>
      </w:r>
      <w:r w:rsidR="00BA747B">
        <w:t xml:space="preserve"> (N=23)</w:t>
      </w:r>
      <w:r w:rsidR="00522C3B">
        <w:t>.</w:t>
      </w:r>
    </w:p>
    <w:p w14:paraId="305AC59B" w14:textId="77777777" w:rsidR="0086129B" w:rsidRDefault="0086129B" w:rsidP="0086129B">
      <w:pPr>
        <w:ind w:firstLine="0"/>
        <w:rPr>
          <w:b/>
          <w:bCs/>
        </w:rPr>
      </w:pPr>
      <w:r w:rsidRPr="00C17619">
        <w:rPr>
          <w:b/>
          <w:bCs/>
        </w:rPr>
        <w:t>Medications</w:t>
      </w:r>
    </w:p>
    <w:p w14:paraId="7F7A8040" w14:textId="1A53BEFD" w:rsidR="0086129B" w:rsidRDefault="0086129B" w:rsidP="00DE3708">
      <w:pPr>
        <w:ind w:firstLine="0"/>
      </w:pPr>
      <w:r>
        <w:rPr>
          <w:b/>
          <w:bCs/>
        </w:rPr>
        <w:tab/>
      </w:r>
      <w:r w:rsidR="00204FC4">
        <w:t>Students</w:t>
      </w:r>
      <w:r>
        <w:t xml:space="preserve"> were asked if they were taking any prescriptions and the</w:t>
      </w:r>
      <w:r w:rsidR="009B6402">
        <w:t>n</w:t>
      </w:r>
      <w:r>
        <w:t xml:space="preserve"> </w:t>
      </w:r>
      <w:r w:rsidR="00A90C0B">
        <w:t xml:space="preserve">to </w:t>
      </w:r>
      <w:r w:rsidR="009B6402">
        <w:t>list</w:t>
      </w:r>
      <w:r>
        <w:t xml:space="preserve"> those medications. Of those students who answered, </w:t>
      </w:r>
      <w:r w:rsidR="00546CA1">
        <w:t>nine</w:t>
      </w:r>
      <w:r>
        <w:t xml:space="preserve"> </w:t>
      </w:r>
      <w:r w:rsidR="00907F77">
        <w:t xml:space="preserve">(42.9%) </w:t>
      </w:r>
      <w:r>
        <w:t>students were taking medication</w:t>
      </w:r>
      <w:r w:rsidR="009B6402">
        <w:t>s</w:t>
      </w:r>
      <w:r>
        <w:t xml:space="preserve"> for anxiety or depression and </w:t>
      </w:r>
      <w:r w:rsidR="00A90C0B">
        <w:t>1</w:t>
      </w:r>
      <w:r>
        <w:t xml:space="preserve"> student was taking medication for attention deficit hyperactivity </w:t>
      </w:r>
      <w:r>
        <w:lastRenderedPageBreak/>
        <w:t>disorder/attention deficit disorder (ADHD/ADD). The list of anti</w:t>
      </w:r>
      <w:r w:rsidR="00275905">
        <w:t>-</w:t>
      </w:r>
      <w:r>
        <w:t>depression medications included: Viibryd, Lexapro (2), Prozac (</w:t>
      </w:r>
      <w:r w:rsidR="008028FD">
        <w:t>3</w:t>
      </w:r>
      <w:r>
        <w:t xml:space="preserve">), Trazodone, </w:t>
      </w:r>
      <w:r w:rsidR="00F32C1C">
        <w:t>Luvox</w:t>
      </w:r>
      <w:r w:rsidR="00EE48E8">
        <w:t>,</w:t>
      </w:r>
      <w:r>
        <w:t xml:space="preserve"> and</w:t>
      </w:r>
      <w:r w:rsidR="009B6402">
        <w:t xml:space="preserve"> Strattera</w:t>
      </w:r>
      <w:r>
        <w:t xml:space="preserve">. </w:t>
      </w:r>
      <w:r w:rsidR="00204FC4">
        <w:t>The student taking ADHD</w:t>
      </w:r>
      <w:r w:rsidR="009B6402">
        <w:t>/ADD</w:t>
      </w:r>
      <w:r w:rsidR="00204FC4">
        <w:t xml:space="preserve"> medication Strattera </w:t>
      </w:r>
      <w:r w:rsidR="009B6402">
        <w:t>could</w:t>
      </w:r>
      <w:r w:rsidR="00204FC4">
        <w:t xml:space="preserve"> also be</w:t>
      </w:r>
      <w:r w:rsidR="009B6402">
        <w:t xml:space="preserve"> </w:t>
      </w:r>
      <w:r w:rsidR="00A90C0B">
        <w:t>using the medication to manage</w:t>
      </w:r>
      <w:r w:rsidR="009B6402">
        <w:t xml:space="preserve"> anxiety due to it has been</w:t>
      </w:r>
      <w:r w:rsidR="00204FC4">
        <w:t xml:space="preserve"> shown to decrease symptoms of anxiety while helping manage ADHD (Snircova</w:t>
      </w:r>
      <w:r w:rsidR="001D2DB2">
        <w:t xml:space="preserve"> et al.</w:t>
      </w:r>
      <w:r w:rsidR="00204FC4">
        <w:t>, 2016).</w:t>
      </w:r>
      <w:r w:rsidR="00395FEA">
        <w:t xml:space="preserve"> </w:t>
      </w:r>
      <w:r>
        <w:t xml:space="preserve">Other medications taken by students included oral birth control, antibiotics, asthma medication, acne medication, over-the-counter allergy medication, and prescription allergy medication. </w:t>
      </w:r>
    </w:p>
    <w:p w14:paraId="3D7D5DCF" w14:textId="00968143" w:rsidR="003779C9" w:rsidRDefault="003779C9" w:rsidP="00DE3708">
      <w:pPr>
        <w:ind w:firstLine="0"/>
        <w:rPr>
          <w:b/>
          <w:bCs/>
        </w:rPr>
      </w:pPr>
      <w:r w:rsidRPr="003779C9">
        <w:rPr>
          <w:b/>
          <w:bCs/>
        </w:rPr>
        <w:t>Means</w:t>
      </w:r>
    </w:p>
    <w:p w14:paraId="28E98C48" w14:textId="58037CFB" w:rsidR="003779C9" w:rsidRDefault="003779C9" w:rsidP="00DE3708">
      <w:pPr>
        <w:ind w:firstLine="0"/>
      </w:pPr>
      <w:r>
        <w:tab/>
        <w:t xml:space="preserve">Examining </w:t>
      </w:r>
      <w:r w:rsidR="00AC6563">
        <w:t xml:space="preserve">dispersion of </w:t>
      </w:r>
      <w:r w:rsidR="00A957AE">
        <w:t>students</w:t>
      </w:r>
      <w:r w:rsidR="00A90C0B">
        <w:t>’</w:t>
      </w:r>
      <w:r>
        <w:t xml:space="preserve"> response</w:t>
      </w:r>
      <w:r w:rsidR="00A90C0B">
        <w:t>s</w:t>
      </w:r>
      <w:r>
        <w:t xml:space="preserve"> to state</w:t>
      </w:r>
      <w:r w:rsidR="00053EDD">
        <w:t xml:space="preserve"> and</w:t>
      </w:r>
      <w:r w:rsidR="00820CED">
        <w:t xml:space="preserve"> </w:t>
      </w:r>
      <w:r w:rsidR="00514200">
        <w:t>trait anxiety</w:t>
      </w:r>
      <w:r w:rsidR="00820CED">
        <w:t xml:space="preserve"> and th</w:t>
      </w:r>
      <w:r w:rsidR="00411E8E">
        <w:t xml:space="preserve">e </w:t>
      </w:r>
      <w:r w:rsidR="00546CA1">
        <w:t>three</w:t>
      </w:r>
      <w:r w:rsidR="00820CED">
        <w:t xml:space="preserve"> different coping styles</w:t>
      </w:r>
      <w:r w:rsidR="00A90C0B">
        <w:t xml:space="preserve"> the mean</w:t>
      </w:r>
      <w:r w:rsidR="00411E8E">
        <w:t>s</w:t>
      </w:r>
      <w:r w:rsidR="00A90C0B">
        <w:t xml:space="preserve"> </w:t>
      </w:r>
      <w:r w:rsidR="005604E4">
        <w:t>w</w:t>
      </w:r>
      <w:r w:rsidR="00411E8E">
        <w:t>ere</w:t>
      </w:r>
      <w:r w:rsidR="00A90C0B">
        <w:t xml:space="preserve"> attained</w:t>
      </w:r>
      <w:r>
        <w:t xml:space="preserve">. State anxiety </w:t>
      </w:r>
      <w:r w:rsidR="00AC6563">
        <w:t>subscale had</w:t>
      </w:r>
      <w:r>
        <w:t xml:space="preserve"> </w:t>
      </w:r>
      <w:r w:rsidR="00546CA1">
        <w:t>five</w:t>
      </w:r>
      <w:r>
        <w:t xml:space="preserve"> students who did not answer any questions </w:t>
      </w:r>
      <w:r w:rsidR="00820CED">
        <w:t>in this subscale.</w:t>
      </w:r>
      <w:r>
        <w:t xml:space="preserve"> The scores for </w:t>
      </w:r>
      <w:r w:rsidR="00AC6563">
        <w:t>state</w:t>
      </w:r>
      <w:r>
        <w:t xml:space="preserve"> </w:t>
      </w:r>
      <w:r w:rsidR="00A90C0B">
        <w:t>anxiety</w:t>
      </w:r>
      <w:r w:rsidR="00820CED">
        <w:t xml:space="preserve"> </w:t>
      </w:r>
      <w:r>
        <w:t xml:space="preserve">ranged from 52 to 66 </w:t>
      </w:r>
      <w:r w:rsidR="00AC6563">
        <w:t xml:space="preserve">(score range 20-80) </w:t>
      </w:r>
      <w:r>
        <w:t xml:space="preserve">with </w:t>
      </w:r>
      <w:r w:rsidR="00457BE6">
        <w:t xml:space="preserve">a </w:t>
      </w:r>
      <w:r w:rsidR="00A957AE">
        <w:t xml:space="preserve">mean score </w:t>
      </w:r>
      <w:r w:rsidR="00457BE6">
        <w:t xml:space="preserve">of </w:t>
      </w:r>
      <w:r w:rsidR="00A957AE">
        <w:t>59.94</w:t>
      </w:r>
      <w:r w:rsidR="00053EDD">
        <w:t xml:space="preserve">, </w:t>
      </w:r>
      <w:r w:rsidR="005604E4">
        <w:t>a</w:t>
      </w:r>
      <w:r w:rsidR="00FF4E88">
        <w:t xml:space="preserve"> </w:t>
      </w:r>
      <w:r w:rsidR="00053EDD">
        <w:t>median score</w:t>
      </w:r>
      <w:r w:rsidR="00743688">
        <w:t xml:space="preserve"> </w:t>
      </w:r>
      <w:r w:rsidR="00457BE6">
        <w:t xml:space="preserve">of </w:t>
      </w:r>
      <w:r w:rsidR="00053EDD">
        <w:t>60.00,</w:t>
      </w:r>
      <w:r w:rsidR="00A957AE">
        <w:t xml:space="preserve"> and </w:t>
      </w:r>
      <w:r w:rsidR="00A90C0B">
        <w:t xml:space="preserve">a </w:t>
      </w:r>
      <w:r w:rsidR="00A957AE">
        <w:t xml:space="preserve">standard deviation </w:t>
      </w:r>
      <w:r w:rsidR="00514200">
        <w:t xml:space="preserve">(SD) </w:t>
      </w:r>
      <w:r w:rsidR="00457BE6">
        <w:t xml:space="preserve">of </w:t>
      </w:r>
      <w:r w:rsidR="00A957AE">
        <w:t>3.030</w:t>
      </w:r>
      <w:r w:rsidR="00FD349B">
        <w:t xml:space="preserve"> (N=49)</w:t>
      </w:r>
      <w:r w:rsidR="00A957AE">
        <w:t xml:space="preserve">. Trait anxiety had </w:t>
      </w:r>
      <w:r w:rsidR="00546CA1">
        <w:t>seven</w:t>
      </w:r>
      <w:r w:rsidR="00A957AE">
        <w:t xml:space="preserve"> students who did not comple</w:t>
      </w:r>
      <w:r w:rsidR="00AC6563">
        <w:t>te</w:t>
      </w:r>
      <w:r w:rsidR="00A957AE">
        <w:t xml:space="preserve">. Scores ranged from 48 to 72 </w:t>
      </w:r>
      <w:r w:rsidR="00AC6563">
        <w:t xml:space="preserve">(score range 20-80) </w:t>
      </w:r>
      <w:r w:rsidR="00A957AE">
        <w:t xml:space="preserve">with </w:t>
      </w:r>
      <w:r w:rsidR="00457BE6">
        <w:t xml:space="preserve">a </w:t>
      </w:r>
      <w:r w:rsidR="00A957AE">
        <w:t>mean score</w:t>
      </w:r>
      <w:r w:rsidR="00457BE6">
        <w:t xml:space="preserve"> of</w:t>
      </w:r>
      <w:r w:rsidR="00A957AE">
        <w:t xml:space="preserve"> 59.72</w:t>
      </w:r>
      <w:r w:rsidR="00053EDD">
        <w:t xml:space="preserve">, </w:t>
      </w:r>
      <w:r w:rsidR="005604E4">
        <w:t xml:space="preserve">a </w:t>
      </w:r>
      <w:r w:rsidR="00053EDD">
        <w:t xml:space="preserve">median score </w:t>
      </w:r>
      <w:r w:rsidR="00457BE6">
        <w:t xml:space="preserve">of </w:t>
      </w:r>
      <w:r w:rsidR="00053EDD">
        <w:t>58.00,</w:t>
      </w:r>
      <w:r w:rsidR="00A957AE">
        <w:t xml:space="preserve"> and </w:t>
      </w:r>
      <w:r w:rsidR="005604E4">
        <w:t xml:space="preserve">a </w:t>
      </w:r>
      <w:r w:rsidR="00053EDD">
        <w:t>SD</w:t>
      </w:r>
      <w:r w:rsidR="00A957AE">
        <w:t xml:space="preserve"> </w:t>
      </w:r>
      <w:r w:rsidR="00457BE6">
        <w:t xml:space="preserve">of </w:t>
      </w:r>
      <w:r w:rsidR="00A957AE">
        <w:t>5.937</w:t>
      </w:r>
      <w:r w:rsidR="00FD349B">
        <w:t xml:space="preserve"> (N=47)</w:t>
      </w:r>
      <w:r w:rsidR="00A957AE">
        <w:t>.</w:t>
      </w:r>
      <w:r w:rsidR="00AC6563">
        <w:t xml:space="preserve"> Examining the SD between the two subscales show</w:t>
      </w:r>
      <w:r w:rsidR="00457BE6">
        <w:t>s</w:t>
      </w:r>
      <w:r w:rsidR="00AC6563">
        <w:t xml:space="preserve"> there is </w:t>
      </w:r>
      <w:r w:rsidR="00457BE6">
        <w:t xml:space="preserve">a </w:t>
      </w:r>
      <w:r w:rsidR="00AC6563">
        <w:t>smaller deviation of scores in the state anxiety subscale compared to trait anxiety indicating a smaller and tighter range of scores.</w:t>
      </w:r>
      <w:r w:rsidR="00A90C0B">
        <w:t xml:space="preserve"> The</w:t>
      </w:r>
      <w:r w:rsidR="00AC6563">
        <w:t xml:space="preserve"> mean score</w:t>
      </w:r>
      <w:r w:rsidR="00A90C0B">
        <w:t xml:space="preserve"> for state anxiety was </w:t>
      </w:r>
      <w:r w:rsidR="00AC6563">
        <w:t>greater than 40</w:t>
      </w:r>
      <w:r w:rsidR="00554A94">
        <w:t xml:space="preserve"> </w:t>
      </w:r>
      <w:r w:rsidR="00AC6563">
        <w:t>indicat</w:t>
      </w:r>
      <w:r w:rsidR="00A90C0B">
        <w:t>ing</w:t>
      </w:r>
      <w:r w:rsidR="00AC6563">
        <w:t xml:space="preserve"> clinically significant symptoms among students. Trait</w:t>
      </w:r>
      <w:r w:rsidR="00554A94">
        <w:t xml:space="preserve"> </w:t>
      </w:r>
      <w:proofErr w:type="gramStart"/>
      <w:r w:rsidR="00554A94">
        <w:t>anxiety</w:t>
      </w:r>
      <w:proofErr w:type="gramEnd"/>
      <w:r w:rsidR="00554A94">
        <w:t xml:space="preserve"> mean score was greater than 42 demonstrating longstanding anxiety among students.</w:t>
      </w:r>
    </w:p>
    <w:p w14:paraId="20FB8D0A" w14:textId="19C99C71" w:rsidR="00A957AE" w:rsidRPr="003779C9" w:rsidRDefault="00A957AE" w:rsidP="00DE3708">
      <w:pPr>
        <w:ind w:firstLine="0"/>
      </w:pPr>
      <w:r>
        <w:tab/>
        <w:t>Coping styles</w:t>
      </w:r>
      <w:r w:rsidR="00554A94">
        <w:t xml:space="preserve"> were measured in </w:t>
      </w:r>
      <w:r w:rsidR="00546CA1">
        <w:t xml:space="preserve">three </w:t>
      </w:r>
      <w:r w:rsidR="00554A94">
        <w:t>subscales</w:t>
      </w:r>
      <w:r w:rsidR="00907F77">
        <w:t xml:space="preserve"> with 54 </w:t>
      </w:r>
      <w:r w:rsidR="00053EDD">
        <w:t>students</w:t>
      </w:r>
      <w:r w:rsidR="00907F77">
        <w:t xml:space="preserve"> completing the </w:t>
      </w:r>
      <w:r w:rsidR="00693767">
        <w:t xml:space="preserve">survey </w:t>
      </w:r>
      <w:r w:rsidR="00B01FB6">
        <w:t>questions</w:t>
      </w:r>
      <w:r>
        <w:t>. Approach</w:t>
      </w:r>
      <w:r w:rsidR="00514200">
        <w:t xml:space="preserve"> scores rang</w:t>
      </w:r>
      <w:r w:rsidR="00554A94">
        <w:t>ed</w:t>
      </w:r>
      <w:r w:rsidR="00514200">
        <w:t xml:space="preserve"> from 34 to 68 </w:t>
      </w:r>
      <w:r w:rsidR="00820CED">
        <w:t xml:space="preserve">(score range 15-75) </w:t>
      </w:r>
      <w:r w:rsidR="00514200">
        <w:t xml:space="preserve">with a mean </w:t>
      </w:r>
      <w:r w:rsidR="00457BE6">
        <w:t xml:space="preserve">of </w:t>
      </w:r>
      <w:r w:rsidR="00514200">
        <w:t>52.15</w:t>
      </w:r>
      <w:r w:rsidR="00053EDD">
        <w:t xml:space="preserve">, </w:t>
      </w:r>
      <w:r w:rsidR="005604E4">
        <w:t>a</w:t>
      </w:r>
      <w:r w:rsidR="00FF4E88">
        <w:t xml:space="preserve"> </w:t>
      </w:r>
      <w:r w:rsidR="00053EDD">
        <w:t xml:space="preserve">median score </w:t>
      </w:r>
      <w:r w:rsidR="00457BE6">
        <w:t xml:space="preserve">of </w:t>
      </w:r>
      <w:r w:rsidR="00053EDD">
        <w:t>52.00,</w:t>
      </w:r>
      <w:r w:rsidR="00514200">
        <w:t xml:space="preserve"> and </w:t>
      </w:r>
      <w:r w:rsidR="00A90C0B">
        <w:t xml:space="preserve">a </w:t>
      </w:r>
      <w:r w:rsidR="00514200">
        <w:t xml:space="preserve">SD </w:t>
      </w:r>
      <w:r w:rsidR="00457BE6">
        <w:t xml:space="preserve">of </w:t>
      </w:r>
      <w:r w:rsidR="00514200">
        <w:t>7.747</w:t>
      </w:r>
      <w:r w:rsidR="00FD349B">
        <w:t xml:space="preserve"> (N=54)</w:t>
      </w:r>
      <w:r w:rsidR="00514200">
        <w:t xml:space="preserve">. </w:t>
      </w:r>
      <w:r w:rsidR="00053EDD">
        <w:t>When ranking the scores there were 25 students whose scores were less than the mean</w:t>
      </w:r>
      <w:r w:rsidR="00A90C0B">
        <w:t xml:space="preserve">, </w:t>
      </w:r>
      <w:r w:rsidR="00053EDD">
        <w:t xml:space="preserve">while 29 </w:t>
      </w:r>
      <w:r w:rsidR="00A90C0B">
        <w:t>students’</w:t>
      </w:r>
      <w:r w:rsidR="00053EDD">
        <w:t xml:space="preserve"> </w:t>
      </w:r>
      <w:r w:rsidR="00A90C0B">
        <w:t xml:space="preserve">scores </w:t>
      </w:r>
      <w:r w:rsidR="00053EDD">
        <w:t xml:space="preserve">were greater than the </w:t>
      </w:r>
      <w:r w:rsidR="00053EDD">
        <w:lastRenderedPageBreak/>
        <w:t xml:space="preserve">mean. Ten of the students used approach </w:t>
      </w:r>
      <w:r w:rsidR="00693767">
        <w:t xml:space="preserve">coping </w:t>
      </w:r>
      <w:r w:rsidR="00053EDD">
        <w:t xml:space="preserve">at least 80% of the time. </w:t>
      </w:r>
      <w:r w:rsidR="00514200">
        <w:t>Avoidance scores rang</w:t>
      </w:r>
      <w:r w:rsidR="00554A94">
        <w:t>ed</w:t>
      </w:r>
      <w:r w:rsidR="00514200">
        <w:t xml:space="preserve"> from 28 to 4</w:t>
      </w:r>
      <w:r w:rsidR="00820CED">
        <w:t>1 (score range 11-55)</w:t>
      </w:r>
      <w:r w:rsidR="00514200">
        <w:t xml:space="preserve"> with a mean </w:t>
      </w:r>
      <w:r w:rsidR="00457BE6">
        <w:t xml:space="preserve">of </w:t>
      </w:r>
      <w:r w:rsidR="00514200">
        <w:t>35.78</w:t>
      </w:r>
      <w:r w:rsidR="00053EDD">
        <w:t xml:space="preserve">, </w:t>
      </w:r>
      <w:r w:rsidR="005604E4">
        <w:t>a</w:t>
      </w:r>
      <w:r w:rsidR="00FF4E88">
        <w:t xml:space="preserve"> </w:t>
      </w:r>
      <w:r w:rsidR="00053EDD">
        <w:t xml:space="preserve">median score </w:t>
      </w:r>
      <w:r w:rsidR="00457BE6">
        <w:t xml:space="preserve">of </w:t>
      </w:r>
      <w:r w:rsidR="00053EDD">
        <w:t>36.00,</w:t>
      </w:r>
      <w:r w:rsidR="00514200">
        <w:t xml:space="preserve"> and </w:t>
      </w:r>
      <w:r w:rsidR="00A90C0B">
        <w:t xml:space="preserve">a </w:t>
      </w:r>
      <w:r w:rsidR="00514200">
        <w:t xml:space="preserve">SD </w:t>
      </w:r>
      <w:r w:rsidR="00457BE6">
        <w:t xml:space="preserve">of </w:t>
      </w:r>
      <w:r w:rsidR="00514200">
        <w:t>2.859</w:t>
      </w:r>
      <w:r w:rsidR="00FD349B">
        <w:t xml:space="preserve"> (N=54)</w:t>
      </w:r>
      <w:r w:rsidR="00514200">
        <w:t xml:space="preserve">. </w:t>
      </w:r>
      <w:r w:rsidR="00053EDD">
        <w:t>Thirty-three students’ scores were less than the mean with 21 students</w:t>
      </w:r>
      <w:r w:rsidR="00A90C0B">
        <w:t>’</w:t>
      </w:r>
      <w:r w:rsidR="00053EDD">
        <w:t xml:space="preserve"> scores greater than the mean. None of the students used avoidance</w:t>
      </w:r>
      <w:r w:rsidR="00693767">
        <w:t xml:space="preserve"> coping</w:t>
      </w:r>
      <w:r w:rsidR="00053EDD">
        <w:t xml:space="preserve"> 80% of the time. </w:t>
      </w:r>
      <w:r w:rsidR="00514200">
        <w:t>Social</w:t>
      </w:r>
      <w:r w:rsidR="00554A94">
        <w:t xml:space="preserve"> </w:t>
      </w:r>
      <w:r w:rsidR="00514200">
        <w:t>scores rang</w:t>
      </w:r>
      <w:r w:rsidR="00554A94">
        <w:t>ed</w:t>
      </w:r>
      <w:r w:rsidR="00514200">
        <w:t xml:space="preserve"> from 19 to 35</w:t>
      </w:r>
      <w:r w:rsidR="00820CED">
        <w:t xml:space="preserve"> (score range 8-40)</w:t>
      </w:r>
      <w:r w:rsidR="00514200">
        <w:t xml:space="preserve"> with</w:t>
      </w:r>
      <w:r w:rsidR="00457BE6">
        <w:t xml:space="preserve"> a</w:t>
      </w:r>
      <w:r w:rsidR="00514200">
        <w:t xml:space="preserve"> mean </w:t>
      </w:r>
      <w:r w:rsidR="00FF4E88">
        <w:t xml:space="preserve">of </w:t>
      </w:r>
      <w:r w:rsidR="00514200">
        <w:t>27.79</w:t>
      </w:r>
      <w:r w:rsidR="00053EDD">
        <w:t xml:space="preserve">, </w:t>
      </w:r>
      <w:r w:rsidR="005604E4">
        <w:t>a</w:t>
      </w:r>
      <w:r w:rsidR="00FF4E88">
        <w:t xml:space="preserve"> </w:t>
      </w:r>
      <w:r w:rsidR="00053EDD">
        <w:t xml:space="preserve">median score </w:t>
      </w:r>
      <w:r w:rsidR="00457BE6">
        <w:t xml:space="preserve">of </w:t>
      </w:r>
      <w:r w:rsidR="00053EDD">
        <w:t>27.50,</w:t>
      </w:r>
      <w:r w:rsidR="00514200">
        <w:t xml:space="preserve"> and </w:t>
      </w:r>
      <w:r w:rsidR="00A90C0B">
        <w:t xml:space="preserve">a </w:t>
      </w:r>
      <w:r w:rsidR="00514200">
        <w:t xml:space="preserve">SD </w:t>
      </w:r>
      <w:r w:rsidR="00457BE6">
        <w:t xml:space="preserve">of </w:t>
      </w:r>
      <w:r w:rsidR="00514200">
        <w:t>3.142</w:t>
      </w:r>
      <w:r w:rsidR="00FD349B">
        <w:t xml:space="preserve"> (N=54)</w:t>
      </w:r>
      <w:r w:rsidR="00514200">
        <w:t>.</w:t>
      </w:r>
      <w:r w:rsidR="00554A94">
        <w:t xml:space="preserve"> </w:t>
      </w:r>
      <w:r w:rsidR="00053EDD">
        <w:t xml:space="preserve">There were 27 students whose scores were less than the mean and 27 students with scores greater than the mean. Five students used social coping 80% of the time. </w:t>
      </w:r>
      <w:r w:rsidR="00554A94">
        <w:t>The higher the score for each subscale indicate</w:t>
      </w:r>
      <w:r w:rsidR="006316FD">
        <w:t>s</w:t>
      </w:r>
      <w:r w:rsidR="00554A94">
        <w:t xml:space="preserve"> </w:t>
      </w:r>
      <w:r w:rsidR="00457BE6">
        <w:t xml:space="preserve">the </w:t>
      </w:r>
      <w:r w:rsidR="00554A94">
        <w:t xml:space="preserve">use of a particular coping style. </w:t>
      </w:r>
    </w:p>
    <w:p w14:paraId="4A2D1A88" w14:textId="69911FB6" w:rsidR="00DE3708" w:rsidRDefault="001A22FA" w:rsidP="00DE3708">
      <w:pPr>
        <w:ind w:firstLine="0"/>
        <w:rPr>
          <w:b/>
          <w:bCs/>
        </w:rPr>
      </w:pPr>
      <w:r>
        <w:rPr>
          <w:b/>
          <w:bCs/>
        </w:rPr>
        <w:t>Correlation</w:t>
      </w:r>
    </w:p>
    <w:p w14:paraId="006DB2D6" w14:textId="55C8C371" w:rsidR="009B6402" w:rsidRDefault="001A22FA" w:rsidP="00DE3708">
      <w:pPr>
        <w:ind w:firstLine="0"/>
      </w:pPr>
      <w:r>
        <w:tab/>
      </w:r>
      <w:r w:rsidR="00B47C1C">
        <w:t xml:space="preserve">Using </w:t>
      </w:r>
      <w:r w:rsidR="001F120B">
        <w:t>SPSS,</w:t>
      </w:r>
      <w:r w:rsidR="00B47C1C">
        <w:t xml:space="preserve"> </w:t>
      </w:r>
      <w:r w:rsidR="00693767">
        <w:t>a Pearson correlation was used to understand the strength and direction of the relationship between the</w:t>
      </w:r>
      <w:r w:rsidR="00B47C1C">
        <w:t xml:space="preserve"> </w:t>
      </w:r>
      <w:r w:rsidR="00546CA1">
        <w:t>three</w:t>
      </w:r>
      <w:r w:rsidR="00B47C1C">
        <w:t xml:space="preserve"> different coping styles. </w:t>
      </w:r>
      <w:r w:rsidR="005F09B4">
        <w:t xml:space="preserve">There were no violations of assumptions of </w:t>
      </w:r>
      <w:r w:rsidR="00135B54">
        <w:t xml:space="preserve">normality, </w:t>
      </w:r>
      <w:r w:rsidR="005F09B4">
        <w:t>linearity</w:t>
      </w:r>
      <w:r w:rsidR="00135B54">
        <w:t>,</w:t>
      </w:r>
      <w:r w:rsidR="005F09B4">
        <w:t xml:space="preserve"> and homoscedasticity. </w:t>
      </w:r>
      <w:r w:rsidR="0001741D">
        <w:t>A</w:t>
      </w:r>
      <w:r w:rsidR="00B47C1C">
        <w:t xml:space="preserve">pproach and avoidance </w:t>
      </w:r>
      <w:r w:rsidR="0001741D">
        <w:t>showed</w:t>
      </w:r>
      <w:r w:rsidR="00135B54">
        <w:t xml:space="preserve"> a strong, </w:t>
      </w:r>
      <w:r w:rsidR="00B47C1C">
        <w:t xml:space="preserve">positive </w:t>
      </w:r>
      <w:r w:rsidR="00F90E7C">
        <w:t>relationship</w:t>
      </w:r>
      <w:r w:rsidR="004B390B">
        <w:t xml:space="preserve"> that </w:t>
      </w:r>
      <w:r w:rsidR="009B6402">
        <w:t>was</w:t>
      </w:r>
      <w:r w:rsidR="004B390B">
        <w:t xml:space="preserve"> statistically significant</w:t>
      </w:r>
      <w:r w:rsidR="00B47C1C">
        <w:t xml:space="preserve"> (r=0.538, p=0.000)</w:t>
      </w:r>
      <w:r w:rsidR="005F09B4">
        <w:t>.</w:t>
      </w:r>
      <w:r w:rsidR="00B47C1C">
        <w:t xml:space="preserve"> </w:t>
      </w:r>
      <w:r w:rsidR="0001741D">
        <w:t>A</w:t>
      </w:r>
      <w:r w:rsidR="00B47C1C">
        <w:t>pproach and social</w:t>
      </w:r>
      <w:r w:rsidR="0001741D">
        <w:t xml:space="preserve"> showed</w:t>
      </w:r>
      <w:r w:rsidR="00B47C1C">
        <w:t xml:space="preserve"> </w:t>
      </w:r>
      <w:r w:rsidR="00135B54">
        <w:t xml:space="preserve">a small, positive </w:t>
      </w:r>
      <w:r w:rsidR="00F90E7C">
        <w:t>relationship</w:t>
      </w:r>
      <w:r w:rsidR="009B6402">
        <w:t xml:space="preserve"> </w:t>
      </w:r>
      <w:r w:rsidR="004B390B">
        <w:t>with no statistical significance</w:t>
      </w:r>
      <w:r w:rsidR="0001741D">
        <w:t xml:space="preserve"> (r=0.242, p=0.078)</w:t>
      </w:r>
      <w:r w:rsidR="004B390B">
        <w:t>.</w:t>
      </w:r>
      <w:r w:rsidR="00B47C1C">
        <w:t xml:space="preserve"> </w:t>
      </w:r>
      <w:r w:rsidR="004B390B">
        <w:t>A</w:t>
      </w:r>
      <w:r w:rsidR="00B47C1C">
        <w:t>void</w:t>
      </w:r>
      <w:r w:rsidR="00F92BF9">
        <w:t>ance</w:t>
      </w:r>
      <w:r w:rsidR="00B47C1C">
        <w:t xml:space="preserve"> and social (r=0.269, p=0.049)</w:t>
      </w:r>
      <w:r w:rsidR="005F09B4">
        <w:t xml:space="preserve"> </w:t>
      </w:r>
      <w:r w:rsidR="004B390B">
        <w:t>ha</w:t>
      </w:r>
      <w:r w:rsidR="009B6402">
        <w:t>d</w:t>
      </w:r>
      <w:r w:rsidR="004B390B">
        <w:t xml:space="preserve"> </w:t>
      </w:r>
      <w:r w:rsidR="005F09B4">
        <w:t>a</w:t>
      </w:r>
      <w:r w:rsidR="007376F8">
        <w:t xml:space="preserve"> </w:t>
      </w:r>
      <w:r w:rsidR="00135B54">
        <w:t xml:space="preserve">small, </w:t>
      </w:r>
      <w:r w:rsidR="007376F8">
        <w:t xml:space="preserve">positive </w:t>
      </w:r>
      <w:r w:rsidR="00BB55B0">
        <w:t>relationship</w:t>
      </w:r>
      <w:r w:rsidR="004B390B">
        <w:t xml:space="preserve"> shown to be statistically significant</w:t>
      </w:r>
      <w:r w:rsidR="00B47C1C">
        <w:t xml:space="preserve">. </w:t>
      </w:r>
      <w:r w:rsidR="00F92BF9">
        <w:t>The shared variance between approach and avoidance</w:t>
      </w:r>
      <w:r w:rsidR="0001741D">
        <w:t xml:space="preserve"> was</w:t>
      </w:r>
      <w:r w:rsidR="00F92BF9">
        <w:t xml:space="preserve"> 28.94%. The shared variance between approach </w:t>
      </w:r>
      <w:r w:rsidR="001F120B">
        <w:t xml:space="preserve">and social </w:t>
      </w:r>
      <w:r w:rsidR="0001741D">
        <w:t>was</w:t>
      </w:r>
      <w:r w:rsidR="001F120B">
        <w:t xml:space="preserve"> </w:t>
      </w:r>
      <w:r w:rsidR="00F92BF9">
        <w:t xml:space="preserve">5.85%. The shared variance between avoidance and social </w:t>
      </w:r>
      <w:r w:rsidR="0001741D">
        <w:t>was</w:t>
      </w:r>
      <w:r w:rsidR="001F120B">
        <w:t xml:space="preserve"> </w:t>
      </w:r>
      <w:r w:rsidR="00F92BF9">
        <w:t xml:space="preserve">7.23%. </w:t>
      </w:r>
      <w:r w:rsidR="002919C7">
        <w:t>In small sample sizes</w:t>
      </w:r>
      <w:r w:rsidR="00275905">
        <w:t>,</w:t>
      </w:r>
      <w:r w:rsidR="002919C7">
        <w:t xml:space="preserve"> there may </w:t>
      </w:r>
      <w:r w:rsidR="00A2507A">
        <w:t>be</w:t>
      </w:r>
      <w:r w:rsidR="002919C7">
        <w:t xml:space="preserve"> moderate correlations that are not statistically significant due to the small</w:t>
      </w:r>
      <w:r w:rsidR="00A2507A">
        <w:t xml:space="preserve"> sample</w:t>
      </w:r>
      <w:r w:rsidR="002919C7">
        <w:t xml:space="preserve"> size</w:t>
      </w:r>
      <w:r w:rsidR="009B6402">
        <w:t xml:space="preserve">. </w:t>
      </w:r>
    </w:p>
    <w:p w14:paraId="13F34F2B" w14:textId="5B042935" w:rsidR="00ED60D1" w:rsidRPr="001A22FA" w:rsidRDefault="0001741D" w:rsidP="009B6402">
      <w:r>
        <w:t>E</w:t>
      </w:r>
      <w:r w:rsidR="00BB55B0">
        <w:t>xamining the relationship between approach and avoidance</w:t>
      </w:r>
      <w:r>
        <w:t xml:space="preserve"> coping styles</w:t>
      </w:r>
      <w:r w:rsidR="00BB55B0">
        <w:t xml:space="preserve"> there </w:t>
      </w:r>
      <w:r w:rsidR="009B6402">
        <w:t>was</w:t>
      </w:r>
      <w:r w:rsidR="00BB55B0">
        <w:t xml:space="preserve"> a strong</w:t>
      </w:r>
      <w:r w:rsidR="00693767">
        <w:t>,</w:t>
      </w:r>
      <w:r w:rsidR="00BB55B0">
        <w:t xml:space="preserve"> positive correlation</w:t>
      </w:r>
      <w:r w:rsidR="00411E8E">
        <w:t xml:space="preserve"> s</w:t>
      </w:r>
      <w:r w:rsidR="00BB55B0">
        <w:t xml:space="preserve">howing as students increase </w:t>
      </w:r>
      <w:r>
        <w:t xml:space="preserve">their </w:t>
      </w:r>
      <w:r w:rsidR="00BB55B0">
        <w:t xml:space="preserve">use </w:t>
      </w:r>
      <w:r>
        <w:t>of approach,</w:t>
      </w:r>
      <w:r w:rsidR="00BB55B0">
        <w:t xml:space="preserve"> they also increase their use of a</w:t>
      </w:r>
      <w:r w:rsidR="00693767">
        <w:t>voidance</w:t>
      </w:r>
      <w:r w:rsidR="00BB55B0">
        <w:t xml:space="preserve">. </w:t>
      </w:r>
      <w:r w:rsidR="00411E8E">
        <w:t>A</w:t>
      </w:r>
      <w:r w:rsidR="00BB55B0">
        <w:t xml:space="preserve">voidance and social </w:t>
      </w:r>
      <w:r w:rsidR="009B6402">
        <w:t>coping styles</w:t>
      </w:r>
      <w:r w:rsidR="00BB55B0">
        <w:t xml:space="preserve"> </w:t>
      </w:r>
      <w:r w:rsidR="009B6402">
        <w:t>show</w:t>
      </w:r>
      <w:r w:rsidR="00411E8E">
        <w:t>ed</w:t>
      </w:r>
      <w:r w:rsidR="00BB55B0">
        <w:t xml:space="preserve"> </w:t>
      </w:r>
      <w:r w:rsidR="00AC654E">
        <w:t xml:space="preserve">a </w:t>
      </w:r>
      <w:proofErr w:type="gramStart"/>
      <w:r w:rsidR="00BB55B0">
        <w:t>weak</w:t>
      </w:r>
      <w:proofErr w:type="gramEnd"/>
      <w:r w:rsidR="00693767">
        <w:t>,</w:t>
      </w:r>
      <w:r w:rsidR="00BB55B0">
        <w:t xml:space="preserve"> positive correlation </w:t>
      </w:r>
      <w:r w:rsidR="00BB55B0">
        <w:lastRenderedPageBreak/>
        <w:t xml:space="preserve">that </w:t>
      </w:r>
      <w:r w:rsidR="009B6402">
        <w:t>was</w:t>
      </w:r>
      <w:r w:rsidR="00BB55B0">
        <w:t xml:space="preserve"> statistically significan</w:t>
      </w:r>
      <w:r w:rsidR="00411E8E">
        <w:t>t i</w:t>
      </w:r>
      <w:r w:rsidR="00BB55B0">
        <w:t>ndicating as students</w:t>
      </w:r>
      <w:r w:rsidR="009B6402">
        <w:t xml:space="preserve"> </w:t>
      </w:r>
      <w:r w:rsidR="00BB55B0">
        <w:t xml:space="preserve">use </w:t>
      </w:r>
      <w:r>
        <w:t>social</w:t>
      </w:r>
      <w:r w:rsidR="00BB55B0">
        <w:t xml:space="preserve"> coping styles there</w:t>
      </w:r>
      <w:r w:rsidR="00EE48E8">
        <w:t xml:space="preserve"> a</w:t>
      </w:r>
      <w:r w:rsidR="00BB55B0">
        <w:t xml:space="preserve"> slight increase in their use of </w:t>
      </w:r>
      <w:r>
        <w:t>avoidance</w:t>
      </w:r>
      <w:r w:rsidR="00BB55B0">
        <w:t xml:space="preserve"> coping </w:t>
      </w:r>
      <w:r>
        <w:t>styles but</w:t>
      </w:r>
      <w:r w:rsidR="00693767">
        <w:t xml:space="preserve"> was not statistically significant. </w:t>
      </w:r>
    </w:p>
    <w:p w14:paraId="00EF6EE9" w14:textId="15FF1DCA" w:rsidR="001A22FA" w:rsidRDefault="001A22FA" w:rsidP="00DE3708">
      <w:pPr>
        <w:ind w:firstLine="0"/>
        <w:rPr>
          <w:b/>
          <w:bCs/>
        </w:rPr>
      </w:pPr>
      <w:r w:rsidRPr="001A22FA">
        <w:rPr>
          <w:b/>
          <w:bCs/>
        </w:rPr>
        <w:t>Linear Regression</w:t>
      </w:r>
    </w:p>
    <w:p w14:paraId="772684C7" w14:textId="19AD38F1" w:rsidR="00BC0EAC" w:rsidRPr="00BC0EAC" w:rsidRDefault="00BC0EAC" w:rsidP="00DE3708">
      <w:pPr>
        <w:ind w:firstLine="0"/>
      </w:pPr>
      <w:r>
        <w:rPr>
          <w:b/>
          <w:bCs/>
        </w:rPr>
        <w:tab/>
      </w:r>
      <w:r w:rsidR="00457BE6">
        <w:t>M</w:t>
      </w:r>
      <w:r w:rsidR="00693767" w:rsidRPr="00693767">
        <w:t>ultiple</w:t>
      </w:r>
      <w:r w:rsidR="005604E4">
        <w:t xml:space="preserve"> </w:t>
      </w:r>
      <w:r w:rsidR="00693767" w:rsidRPr="00693767">
        <w:t>linear regression was used to explore the relationship between the dependent variable</w:t>
      </w:r>
      <w:r w:rsidR="00693767">
        <w:t>s</w:t>
      </w:r>
      <w:r w:rsidR="00693767" w:rsidRPr="00693767">
        <w:t xml:space="preserve"> (state or trait anxiety) and independent variable</w:t>
      </w:r>
      <w:r w:rsidR="00693767">
        <w:t>s</w:t>
      </w:r>
      <w:r w:rsidR="00693767" w:rsidRPr="00693767">
        <w:t xml:space="preserve"> (a</w:t>
      </w:r>
      <w:r w:rsidR="0001741D">
        <w:t>pproach</w:t>
      </w:r>
      <w:r w:rsidR="00693767" w:rsidRPr="00693767">
        <w:t>, a</w:t>
      </w:r>
      <w:r w:rsidR="0001741D">
        <w:t>voidance</w:t>
      </w:r>
      <w:r w:rsidR="00693767" w:rsidRPr="00693767">
        <w:t>, and social coping). This approach determine</w:t>
      </w:r>
      <w:r w:rsidR="00F20F9B">
        <w:t>s</w:t>
      </w:r>
      <w:r w:rsidR="00693767" w:rsidRPr="00693767">
        <w:t xml:space="preserve"> the variance of state or trait anxiety</w:t>
      </w:r>
      <w:r w:rsidR="00F20F9B">
        <w:t xml:space="preserve"> among students and the effect</w:t>
      </w:r>
      <w:r w:rsidR="00693767" w:rsidRPr="00693767">
        <w:t xml:space="preserve"> </w:t>
      </w:r>
      <w:r w:rsidR="00F20F9B">
        <w:t xml:space="preserve">of </w:t>
      </w:r>
      <w:r w:rsidR="00693767" w:rsidRPr="00693767">
        <w:t>a</w:t>
      </w:r>
      <w:r w:rsidR="0001741D">
        <w:t>pproach</w:t>
      </w:r>
      <w:r w:rsidR="00693767" w:rsidRPr="00693767">
        <w:t xml:space="preserve">, </w:t>
      </w:r>
      <w:r w:rsidR="0001741D" w:rsidRPr="00693767">
        <w:t>a</w:t>
      </w:r>
      <w:r w:rsidR="0001741D">
        <w:t>voidance</w:t>
      </w:r>
      <w:r w:rsidR="00693767" w:rsidRPr="00693767">
        <w:t>, and social coping styles</w:t>
      </w:r>
      <w:r w:rsidR="00693767">
        <w:t xml:space="preserve">. </w:t>
      </w:r>
    </w:p>
    <w:p w14:paraId="18D14FA1" w14:textId="17918FA7" w:rsidR="000076E7" w:rsidRDefault="00F41CB7" w:rsidP="00C17619">
      <w:pPr>
        <w:ind w:firstLine="0"/>
      </w:pPr>
      <w:r>
        <w:tab/>
      </w:r>
      <w:r w:rsidR="00AA660A" w:rsidRPr="00AA660A">
        <w:rPr>
          <w:b/>
          <w:bCs/>
        </w:rPr>
        <w:t>State Anxiety</w:t>
      </w:r>
      <w:r w:rsidR="00AA660A">
        <w:t xml:space="preserve">. </w:t>
      </w:r>
      <w:r w:rsidR="00693767">
        <w:t xml:space="preserve">State anxiety is defined as feelings felt or experienced after a specific event. </w:t>
      </w:r>
      <w:r w:rsidR="00F20F9B">
        <w:t>This section of the survey was completed by 49 students u</w:t>
      </w:r>
      <w:r>
        <w:t xml:space="preserve">sing SPSS </w:t>
      </w:r>
      <w:r w:rsidR="0001741D">
        <w:t xml:space="preserve">to </w:t>
      </w:r>
      <w:r>
        <w:t>analyz</w:t>
      </w:r>
      <w:r w:rsidR="0001741D">
        <w:t>e</w:t>
      </w:r>
      <w:r>
        <w:t xml:space="preserve"> state anxiety and </w:t>
      </w:r>
      <w:r w:rsidR="00F20F9B">
        <w:t>three</w:t>
      </w:r>
      <w:r w:rsidR="0001741D">
        <w:t xml:space="preserve"> </w:t>
      </w:r>
      <w:r>
        <w:t>coping styles</w:t>
      </w:r>
      <w:r w:rsidR="0023490F">
        <w:t>.</w:t>
      </w:r>
      <w:r w:rsidR="00EE48E8">
        <w:t xml:space="preserve"> M</w:t>
      </w:r>
      <w:r w:rsidR="001F120B">
        <w:t>ultiple</w:t>
      </w:r>
      <w:r w:rsidR="005604E4">
        <w:t xml:space="preserve"> </w:t>
      </w:r>
      <w:r w:rsidR="0001741D">
        <w:t>l</w:t>
      </w:r>
      <w:r w:rsidR="001F120B">
        <w:t xml:space="preserve">inear regression was used </w:t>
      </w:r>
      <w:r w:rsidR="008D35AB">
        <w:t xml:space="preserve">with </w:t>
      </w:r>
      <w:r w:rsidR="005C63DB">
        <w:t>a</w:t>
      </w:r>
      <w:r w:rsidR="0001741D">
        <w:t>pproach</w:t>
      </w:r>
      <w:r w:rsidR="005C63DB">
        <w:t xml:space="preserve">, </w:t>
      </w:r>
      <w:r w:rsidR="0001741D">
        <w:t>avoidance</w:t>
      </w:r>
      <w:r w:rsidR="005C63DB">
        <w:t xml:space="preserve">, and social coping styles as the predictors </w:t>
      </w:r>
      <w:r w:rsidR="008D35AB">
        <w:t xml:space="preserve">(independent variables) </w:t>
      </w:r>
      <w:r w:rsidR="005C63DB">
        <w:t>and state anxiety as the dependent variable</w:t>
      </w:r>
      <w:r w:rsidR="001F120B">
        <w:t xml:space="preserve">. </w:t>
      </w:r>
      <w:r w:rsidR="0023490F">
        <w:t>Tolerance</w:t>
      </w:r>
      <w:r w:rsidR="001F120B">
        <w:t xml:space="preserve"> (avoidance=0.795, </w:t>
      </w:r>
      <w:r w:rsidR="0085411A">
        <w:t xml:space="preserve">approach=0.783, </w:t>
      </w:r>
      <w:r w:rsidR="001F120B">
        <w:t>social=0.964)</w:t>
      </w:r>
      <w:r w:rsidR="0023490F">
        <w:t xml:space="preserve"> and variance inflation </w:t>
      </w:r>
      <w:r w:rsidR="001F120B">
        <w:t xml:space="preserve">factor (avoidance=1.257, </w:t>
      </w:r>
      <w:r w:rsidR="0085411A">
        <w:t xml:space="preserve">approach=1.278, </w:t>
      </w:r>
      <w:r w:rsidR="001F120B">
        <w:t xml:space="preserve">social=1.037) </w:t>
      </w:r>
      <w:r w:rsidR="0023490F">
        <w:t xml:space="preserve">both demonstrate </w:t>
      </w:r>
      <w:r w:rsidR="001F120B">
        <w:t xml:space="preserve">no </w:t>
      </w:r>
      <w:r w:rsidR="0023490F">
        <w:t>possibility of multicollinearity</w:t>
      </w:r>
      <w:r w:rsidR="008D35AB">
        <w:t>, normality, linearity, and homoscedasticity assumptions were violated</w:t>
      </w:r>
      <w:r w:rsidR="0023490F">
        <w:t xml:space="preserve"> between the independent variable</w:t>
      </w:r>
      <w:r w:rsidR="001F120B">
        <w:t>s</w:t>
      </w:r>
      <w:r w:rsidR="0023490F">
        <w:t xml:space="preserve">. </w:t>
      </w:r>
      <w:r w:rsidR="00211D10">
        <w:t xml:space="preserve">Adjusted </w:t>
      </w:r>
      <w:r w:rsidR="00AA660A" w:rsidRPr="001F120B">
        <w:rPr>
          <w:i/>
          <w:iCs/>
        </w:rPr>
        <w:t>R</w:t>
      </w:r>
      <w:r w:rsidR="001F120B" w:rsidRPr="001F120B">
        <w:rPr>
          <w:i/>
          <w:iCs/>
          <w:vertAlign w:val="superscript"/>
        </w:rPr>
        <w:t>2</w:t>
      </w:r>
      <w:r w:rsidR="00AA660A">
        <w:t xml:space="preserve"> for this sample was 0.</w:t>
      </w:r>
      <w:r w:rsidR="00211D10">
        <w:t>111</w:t>
      </w:r>
      <w:r w:rsidR="00D9670B">
        <w:t xml:space="preserve"> demonstrating</w:t>
      </w:r>
      <w:r w:rsidR="002856BC">
        <w:t xml:space="preserve"> coping styles only explain 11.1% of variance </w:t>
      </w:r>
      <w:r w:rsidR="005762E8">
        <w:t xml:space="preserve">or </w:t>
      </w:r>
      <w:r w:rsidR="00F90E7C">
        <w:t>effect</w:t>
      </w:r>
      <w:r w:rsidR="005762E8">
        <w:t xml:space="preserve"> on</w:t>
      </w:r>
      <w:r w:rsidR="002856BC">
        <w:t xml:space="preserve"> state anxiety. </w:t>
      </w:r>
      <w:r w:rsidR="003533FC">
        <w:t xml:space="preserve">When evaluating adjusted </w:t>
      </w:r>
      <w:r w:rsidR="003533FC" w:rsidRPr="0085411A">
        <w:rPr>
          <w:i/>
          <w:iCs/>
        </w:rPr>
        <w:t>R</w:t>
      </w:r>
      <w:r w:rsidR="003533FC" w:rsidRPr="0085411A">
        <w:rPr>
          <w:i/>
          <w:iCs/>
          <w:vertAlign w:val="superscript"/>
        </w:rPr>
        <w:t>2</w:t>
      </w:r>
      <w:r w:rsidR="003533FC">
        <w:t xml:space="preserve"> the variance in state anxiety is not explained by the different coping styles. </w:t>
      </w:r>
      <w:r w:rsidR="0001741D">
        <w:t>Approach showed a slight contribution (</w:t>
      </w:r>
      <w:r w:rsidR="0001741D">
        <w:sym w:font="Symbol" w:char="F062"/>
      </w:r>
      <w:r w:rsidR="0001741D">
        <w:t>=0.170, p=0.275) but was not statistically significant. A</w:t>
      </w:r>
      <w:r w:rsidR="00D9670B">
        <w:t>voidance ma</w:t>
      </w:r>
      <w:r w:rsidR="00411E8E">
        <w:t>de</w:t>
      </w:r>
      <w:r w:rsidR="00D9670B">
        <w:t xml:space="preserve"> the largest contribution to state anxiety (</w:t>
      </w:r>
      <w:r w:rsidR="00D9670B">
        <w:sym w:font="Symbol" w:char="F062"/>
      </w:r>
      <w:r w:rsidR="00D9670B">
        <w:t xml:space="preserve">=-0.455, p=0.005) and </w:t>
      </w:r>
      <w:r w:rsidR="008D35AB">
        <w:t>was</w:t>
      </w:r>
      <w:r w:rsidR="00D9670B">
        <w:t xml:space="preserve"> statistically significant. </w:t>
      </w:r>
      <w:r w:rsidR="00486174">
        <w:t>While social (</w:t>
      </w:r>
      <w:r w:rsidR="00486174">
        <w:sym w:font="Symbol" w:char="F062"/>
      </w:r>
      <w:r w:rsidR="00486174">
        <w:t>=0.055, p=0.691) did not contribute to explaining state anxiety</w:t>
      </w:r>
      <w:r w:rsidR="00D35250">
        <w:t xml:space="preserve"> and </w:t>
      </w:r>
      <w:r w:rsidR="008D35AB">
        <w:t>was</w:t>
      </w:r>
      <w:r w:rsidR="00D35250">
        <w:t xml:space="preserve"> not statistically significant</w:t>
      </w:r>
      <w:r w:rsidR="00486174">
        <w:t xml:space="preserve">. </w:t>
      </w:r>
      <w:r w:rsidR="00330B9D">
        <w:t xml:space="preserve">The sig. value for avoidance (0.005) making a significant contribution to the prediction of state anxiety. Both approach (sig. value=0.275) and social (sig. value=0.691) </w:t>
      </w:r>
      <w:r w:rsidR="007E15CE">
        <w:t>were</w:t>
      </w:r>
      <w:r w:rsidR="00330B9D">
        <w:t xml:space="preserve"> not significant in the contribution to state anxiety. </w:t>
      </w:r>
      <w:r w:rsidR="00D35250">
        <w:t xml:space="preserve">The semi partial correlation coefficient </w:t>
      </w:r>
      <w:r w:rsidR="00F20F9B">
        <w:t xml:space="preserve">was </w:t>
      </w:r>
      <w:r w:rsidR="00F20F9B">
        <w:lastRenderedPageBreak/>
        <w:t xml:space="preserve">identified </w:t>
      </w:r>
      <w:r w:rsidR="00D35250">
        <w:t xml:space="preserve">for approach (2.28%), </w:t>
      </w:r>
      <w:r w:rsidR="007E15CE">
        <w:t xml:space="preserve">avoidance (16.48%), </w:t>
      </w:r>
      <w:r w:rsidR="00D35250">
        <w:t>and social (0.29%)</w:t>
      </w:r>
      <w:r w:rsidR="00F20F9B">
        <w:t xml:space="preserve"> showing avoidance demonstrated the largest total variance</w:t>
      </w:r>
      <w:r w:rsidR="00D35250">
        <w:t>.</w:t>
      </w:r>
      <w:r w:rsidR="003533FC">
        <w:t xml:space="preserve"> </w:t>
      </w:r>
    </w:p>
    <w:p w14:paraId="3E3363EE" w14:textId="4F7D666A" w:rsidR="001F120B" w:rsidRDefault="001F120B" w:rsidP="00693767">
      <w:r>
        <w:rPr>
          <w:b/>
          <w:bCs/>
        </w:rPr>
        <w:t xml:space="preserve">Trait Anxiety. </w:t>
      </w:r>
      <w:r w:rsidR="00693767" w:rsidRPr="00693767">
        <w:t>Trait Anxiety is defined as the general feeling of the student no</w:t>
      </w:r>
      <w:r w:rsidR="00693767">
        <w:t>t</w:t>
      </w:r>
      <w:r w:rsidR="00693767" w:rsidRPr="00693767">
        <w:t xml:space="preserve"> related to a specific time or event</w:t>
      </w:r>
      <w:r w:rsidR="00693767">
        <w:t xml:space="preserve">. </w:t>
      </w:r>
      <w:r>
        <w:t>Multiple</w:t>
      </w:r>
      <w:r w:rsidR="005604E4">
        <w:t xml:space="preserve"> </w:t>
      </w:r>
      <w:r w:rsidR="008D35AB">
        <w:t>l</w:t>
      </w:r>
      <w:r>
        <w:t xml:space="preserve">inear regression was performed using SPSS </w:t>
      </w:r>
      <w:r w:rsidR="005C63DB">
        <w:t xml:space="preserve">with </w:t>
      </w:r>
      <w:r w:rsidR="007E15CE">
        <w:t>approach</w:t>
      </w:r>
      <w:r w:rsidR="005C63DB">
        <w:t xml:space="preserve">, </w:t>
      </w:r>
      <w:r w:rsidR="007E15CE">
        <w:t>avoidance</w:t>
      </w:r>
      <w:r w:rsidR="005C63DB">
        <w:t xml:space="preserve">, and social coping styles as the predictors </w:t>
      </w:r>
      <w:r w:rsidR="008D35AB">
        <w:t xml:space="preserve">(independent variable) </w:t>
      </w:r>
      <w:r w:rsidR="005C63DB">
        <w:t>and trait anxiety as the dependent variable. Forty-seven</w:t>
      </w:r>
      <w:r>
        <w:t xml:space="preserve"> students completed this section of the survey. The tolerance (approach=0.799, avoidance=0.811, social=0.929) and variance inflation factor (approach=1.252, avoidance=1.234, social=1.076) both demonstrate </w:t>
      </w:r>
      <w:r w:rsidR="008D35AB">
        <w:t>no</w:t>
      </w:r>
      <w:r>
        <w:t xml:space="preserve"> possibility of multicollinearity</w:t>
      </w:r>
      <w:r w:rsidR="008D35AB">
        <w:t xml:space="preserve">, normality, linearity, and homoscedasticity assumptions were violated between the independent variables. </w:t>
      </w:r>
      <w:r w:rsidR="005762E8">
        <w:t xml:space="preserve">Adjusted </w:t>
      </w:r>
      <w:r w:rsidRPr="001F120B">
        <w:rPr>
          <w:i/>
          <w:iCs/>
        </w:rPr>
        <w:t>R</w:t>
      </w:r>
      <w:r w:rsidRPr="001F120B">
        <w:rPr>
          <w:i/>
          <w:iCs/>
          <w:vertAlign w:val="superscript"/>
        </w:rPr>
        <w:t>2</w:t>
      </w:r>
      <w:r>
        <w:t xml:space="preserve"> for this sample </w:t>
      </w:r>
      <w:r w:rsidR="005762E8">
        <w:t>-0.060</w:t>
      </w:r>
      <w:r>
        <w:t xml:space="preserve">. </w:t>
      </w:r>
      <w:r w:rsidR="008D35AB">
        <w:t>T</w:t>
      </w:r>
      <w:r w:rsidR="003533FC">
        <w:t xml:space="preserve">he adjusted </w:t>
      </w:r>
      <w:r w:rsidR="003533FC" w:rsidRPr="006E5388">
        <w:rPr>
          <w:i/>
          <w:iCs/>
        </w:rPr>
        <w:t>R</w:t>
      </w:r>
      <w:r w:rsidR="003533FC" w:rsidRPr="006E5388">
        <w:rPr>
          <w:i/>
          <w:iCs/>
          <w:vertAlign w:val="superscript"/>
        </w:rPr>
        <w:t>2</w:t>
      </w:r>
      <w:r w:rsidR="003533FC">
        <w:t xml:space="preserve"> trait anxiety experienced by students </w:t>
      </w:r>
      <w:r w:rsidR="008D35AB">
        <w:t>was</w:t>
      </w:r>
      <w:r w:rsidR="003533FC">
        <w:t xml:space="preserve"> not explained by the different coping styles used when experiencing trait anxiety. </w:t>
      </w:r>
      <w:r w:rsidR="00411E8E">
        <w:t>C</w:t>
      </w:r>
      <w:r>
        <w:t xml:space="preserve">omparing the independent variables with trait anxiety, </w:t>
      </w:r>
      <w:r w:rsidR="00CE1EE7">
        <w:t>approach (</w:t>
      </w:r>
      <w:r w:rsidR="00CE1EE7">
        <w:sym w:font="Symbol" w:char="F062"/>
      </w:r>
      <w:r w:rsidR="00CE1EE7">
        <w:t>=-0.007, p=0.968)</w:t>
      </w:r>
      <w:r w:rsidR="007E15CE">
        <w:t xml:space="preserve"> and avoidance (</w:t>
      </w:r>
      <w:r w:rsidR="007E15CE">
        <w:sym w:font="Symbol" w:char="F062"/>
      </w:r>
      <w:r w:rsidR="007E15CE">
        <w:t>=0.034, p=0.842),</w:t>
      </w:r>
      <w:r w:rsidR="00CE1EE7">
        <w:t xml:space="preserve"> did not</w:t>
      </w:r>
      <w:r w:rsidR="00EE48E8">
        <w:t xml:space="preserve"> contribute</w:t>
      </w:r>
      <w:r w:rsidR="00CE1EE7">
        <w:t xml:space="preserve"> and w</w:t>
      </w:r>
      <w:r w:rsidR="00EE48E8">
        <w:t>ere</w:t>
      </w:r>
      <w:r w:rsidR="00CE1EE7">
        <w:t xml:space="preserve"> not statistically significant. S</w:t>
      </w:r>
      <w:r>
        <w:t>ocial coping ma</w:t>
      </w:r>
      <w:r w:rsidR="00CE1EE7">
        <w:t>de</w:t>
      </w:r>
      <w:r>
        <w:t xml:space="preserve"> the strongest contribution (</w:t>
      </w:r>
      <w:r>
        <w:sym w:font="Symbol" w:char="F062"/>
      </w:r>
      <w:r>
        <w:t xml:space="preserve">=0.083, p=0.601) although not </w:t>
      </w:r>
      <w:r w:rsidR="003533FC">
        <w:t xml:space="preserve">statistically </w:t>
      </w:r>
      <w:r>
        <w:t xml:space="preserve">significant. Examining the significance of the independent variables (approach p=0.968, avoidance p=0.842, social p=0.601) on trait anxiety there was not a significant contribution to trait anxiety. The semi partial correlation coefficient for approach, avoidance, and social were all less than zero. Semi partial correlation coefficient demonstrates total variance </w:t>
      </w:r>
      <w:r w:rsidR="008D35AB">
        <w:t xml:space="preserve">for </w:t>
      </w:r>
      <w:r>
        <w:t>the dependent variable</w:t>
      </w:r>
      <w:r w:rsidR="008D35AB">
        <w:t>s</w:t>
      </w:r>
      <w:r>
        <w:t xml:space="preserve"> (approach, avoidance, and social) </w:t>
      </w:r>
      <w:r w:rsidR="008D35AB">
        <w:t>was</w:t>
      </w:r>
      <w:r>
        <w:t xml:space="preserve"> not uniquely explained</w:t>
      </w:r>
      <w:r w:rsidR="003533FC">
        <w:t xml:space="preserve">. </w:t>
      </w:r>
    </w:p>
    <w:p w14:paraId="089F1309" w14:textId="727F756D" w:rsidR="002F7E13" w:rsidRPr="007E15CE" w:rsidRDefault="002F7E13" w:rsidP="002F7E13">
      <w:pPr>
        <w:ind w:firstLine="0"/>
        <w:rPr>
          <w:b/>
          <w:bCs/>
        </w:rPr>
      </w:pPr>
      <w:r w:rsidRPr="00CA139B">
        <w:rPr>
          <w:b/>
          <w:bCs/>
        </w:rPr>
        <w:t>Open</w:t>
      </w:r>
      <w:r>
        <w:rPr>
          <w:b/>
          <w:bCs/>
        </w:rPr>
        <w:t>-</w:t>
      </w:r>
      <w:r w:rsidRPr="00CA139B">
        <w:rPr>
          <w:b/>
          <w:bCs/>
        </w:rPr>
        <w:t>Ended Questions</w:t>
      </w:r>
      <w:r w:rsidR="00693767">
        <w:rPr>
          <w:b/>
          <w:bCs/>
        </w:rPr>
        <w:t xml:space="preserve"> &amp; Rating Scale Question</w:t>
      </w:r>
      <w:r>
        <w:t xml:space="preserve"> </w:t>
      </w:r>
    </w:p>
    <w:p w14:paraId="672401A0" w14:textId="4AC64DCF" w:rsidR="002F7E13" w:rsidRDefault="002F7E13" w:rsidP="002F7E13">
      <w:pPr>
        <w:ind w:firstLine="0"/>
      </w:pPr>
      <w:r>
        <w:tab/>
      </w:r>
      <w:r w:rsidR="00411E8E">
        <w:t>S</w:t>
      </w:r>
      <w:r>
        <w:t xml:space="preserve">tudents were asked what their most anxious situation had been in nursing school there were 44 responses. Students responded with feelings of increased anxiety regarding increased workload, preparing for exams, feeling the lack of ability to do well in the future, not knowing </w:t>
      </w:r>
      <w:r>
        <w:lastRenderedPageBreak/>
        <w:t>how to properly prepare for upcoming midterm exams, and instructors not knowing how to properly use Bright Space. Most students voiced concerns about the overall workload associated with nursing school and prerequisites</w:t>
      </w:r>
      <w:r w:rsidR="007E15CE">
        <w:t xml:space="preserve">. Some mentioned </w:t>
      </w:r>
      <w:r>
        <w:t xml:space="preserve">difficulty learning online versus being in person and how this might affect their ability to be successful in the nursing program. </w:t>
      </w:r>
    </w:p>
    <w:p w14:paraId="24F60B51" w14:textId="6744EE29" w:rsidR="002F7E13" w:rsidRDefault="002F7E13" w:rsidP="002F7E13">
      <w:pPr>
        <w:ind w:firstLine="0"/>
      </w:pPr>
      <w:r>
        <w:tab/>
        <w:t>Nursing students were then asked how the pandemic ha</w:t>
      </w:r>
      <w:r w:rsidR="00411E8E">
        <w:t>d</w:t>
      </w:r>
      <w:r>
        <w:t xml:space="preserve"> affected their progress through nursing school </w:t>
      </w:r>
      <w:r w:rsidR="00F20F9B">
        <w:t>there were</w:t>
      </w:r>
      <w:r>
        <w:t xml:space="preserve"> 43 responses. Students responded with concerns about staying on track with the workload, </w:t>
      </w:r>
      <w:r w:rsidR="007E15CE">
        <w:t>inability to</w:t>
      </w:r>
      <w:r>
        <w:t xml:space="preserve"> focus, decrease in socialization, not feeling connected to campus and other students, feeling like classes were more challenging due to being online</w:t>
      </w:r>
      <w:r w:rsidR="007E15CE">
        <w:t xml:space="preserve"> format</w:t>
      </w:r>
      <w:r>
        <w:t xml:space="preserve">, and struggling to learn </w:t>
      </w:r>
      <w:r w:rsidR="007E15CE">
        <w:t xml:space="preserve">new </w:t>
      </w:r>
      <w:r>
        <w:t xml:space="preserve">concepts in an online format. Students </w:t>
      </w:r>
      <w:r w:rsidR="007E15CE">
        <w:t>felt</w:t>
      </w:r>
      <w:r>
        <w:t xml:space="preserve"> classes were more challenging</w:t>
      </w:r>
      <w:r w:rsidR="007E15CE">
        <w:t xml:space="preserve">, were </w:t>
      </w:r>
      <w:r>
        <w:t xml:space="preserve">unable to develop a routine due to the </w:t>
      </w:r>
      <w:r w:rsidR="00F20F9B">
        <w:t>pandemic and</w:t>
      </w:r>
      <w:r>
        <w:t xml:space="preserve"> </w:t>
      </w:r>
      <w:r w:rsidR="007E15CE">
        <w:t xml:space="preserve">were concerned about </w:t>
      </w:r>
      <w:r>
        <w:t xml:space="preserve">changes occurring within the university. </w:t>
      </w:r>
      <w:r w:rsidR="007E15CE">
        <w:t xml:space="preserve">Students </w:t>
      </w:r>
      <w:r w:rsidR="00F20F9B">
        <w:t xml:space="preserve">believed </w:t>
      </w:r>
      <w:r>
        <w:t xml:space="preserve">it was harder to learn new </w:t>
      </w:r>
      <w:r w:rsidR="00411E8E">
        <w:t>concepts and</w:t>
      </w:r>
      <w:r>
        <w:t xml:space="preserve"> were having difficulty teaching themselves through an online format. </w:t>
      </w:r>
    </w:p>
    <w:p w14:paraId="75D57EDC" w14:textId="305EF1D9" w:rsidR="00693767" w:rsidRDefault="00693767" w:rsidP="00693767">
      <w:r>
        <w:t xml:space="preserve">Finally, students were asked to rank how successful they thought they would be in the nursing program. Students ranked success on a </w:t>
      </w:r>
      <w:r w:rsidR="00F20F9B">
        <w:t>zero</w:t>
      </w:r>
      <w:r>
        <w:t xml:space="preserve"> to </w:t>
      </w:r>
      <w:r w:rsidR="00F20F9B">
        <w:t>ten</w:t>
      </w:r>
      <w:r>
        <w:t xml:space="preserve"> scale with </w:t>
      </w:r>
      <w:r w:rsidR="00F20F9B">
        <w:t>zero</w:t>
      </w:r>
      <w:r>
        <w:t xml:space="preserve"> being not successful and </w:t>
      </w:r>
      <w:r w:rsidR="00F20F9B">
        <w:t>ten</w:t>
      </w:r>
      <w:r>
        <w:t xml:space="preserve"> being very successful. Fifty-four students answered the question with the lowest score being </w:t>
      </w:r>
      <w:r w:rsidR="00F20F9B">
        <w:t>five</w:t>
      </w:r>
      <w:r>
        <w:t xml:space="preserve"> and the highest score being </w:t>
      </w:r>
      <w:r w:rsidR="00F20F9B">
        <w:t>ten</w:t>
      </w:r>
      <w:r>
        <w:t xml:space="preserve"> with an average score of 7.39. </w:t>
      </w:r>
    </w:p>
    <w:p w14:paraId="44B97DF4" w14:textId="4B12AA09" w:rsidR="007376F8" w:rsidRDefault="00A74DA0" w:rsidP="003533FC">
      <w:pPr>
        <w:ind w:firstLine="0"/>
        <w:jc w:val="center"/>
      </w:pPr>
      <w:r>
        <w:rPr>
          <w:b/>
          <w:bCs/>
        </w:rPr>
        <w:t>Discussion</w:t>
      </w:r>
      <w:r w:rsidR="007376F8">
        <w:tab/>
        <w:t xml:space="preserve"> </w:t>
      </w:r>
    </w:p>
    <w:p w14:paraId="48E6AF77" w14:textId="5370212B" w:rsidR="004612F5" w:rsidRDefault="002A0718" w:rsidP="006E5758">
      <w:r>
        <w:t xml:space="preserve">Starting </w:t>
      </w:r>
      <w:r w:rsidR="00C24B26">
        <w:t>college is an exciting period</w:t>
      </w:r>
      <w:r w:rsidR="00F20F9B">
        <w:t xml:space="preserve">, however, </w:t>
      </w:r>
      <w:r w:rsidR="00C24B26">
        <w:t xml:space="preserve">changes </w:t>
      </w:r>
      <w:r w:rsidR="0027603A">
        <w:t xml:space="preserve">in </w:t>
      </w:r>
      <w:r>
        <w:t xml:space="preserve">routine and environment </w:t>
      </w:r>
      <w:r w:rsidR="00C24B26">
        <w:t>including cultural, demographic, societal, and technology can contribute to emotional or psychological problems. Focusing on teaching students how to</w:t>
      </w:r>
      <w:r>
        <w:t xml:space="preserve"> </w:t>
      </w:r>
      <w:r w:rsidR="00C24B26">
        <w:t xml:space="preserve">appraise these changes and develop positive </w:t>
      </w:r>
      <w:r w:rsidR="00621DF2">
        <w:t>coping</w:t>
      </w:r>
      <w:r w:rsidR="00C24B26">
        <w:t xml:space="preserve"> can lessen their stress. The goals of this study were to determine </w:t>
      </w:r>
      <w:r w:rsidR="007754C1">
        <w:t xml:space="preserve">if there </w:t>
      </w:r>
      <w:r w:rsidR="00F20F9B">
        <w:t xml:space="preserve">was </w:t>
      </w:r>
      <w:r w:rsidR="007754C1">
        <w:t xml:space="preserve">a correlation between </w:t>
      </w:r>
      <w:r w:rsidR="005F4E5E">
        <w:t xml:space="preserve">a </w:t>
      </w:r>
      <w:r w:rsidR="007754C1">
        <w:t xml:space="preserve">particular coping style and </w:t>
      </w:r>
      <w:proofErr w:type="gramStart"/>
      <w:r w:rsidR="007754C1">
        <w:t>whether or not</w:t>
      </w:r>
      <w:proofErr w:type="gramEnd"/>
      <w:r w:rsidR="007754C1">
        <w:t xml:space="preserve"> students experience</w:t>
      </w:r>
      <w:r w:rsidR="005F4E5E">
        <w:t>d</w:t>
      </w:r>
      <w:r w:rsidR="007754C1">
        <w:t xml:space="preserve"> anxiety.</w:t>
      </w:r>
      <w:r w:rsidR="00F20F9B">
        <w:t xml:space="preserve"> Then utilizing that information to </w:t>
      </w:r>
      <w:r>
        <w:t>develop</w:t>
      </w:r>
      <w:r w:rsidR="006E5758">
        <w:t xml:space="preserve"> interventions t</w:t>
      </w:r>
      <w:r>
        <w:t>o</w:t>
      </w:r>
      <w:r w:rsidR="006E5758">
        <w:t xml:space="preserve"> help students manage anxiety </w:t>
      </w:r>
      <w:r w:rsidR="006E5758">
        <w:lastRenderedPageBreak/>
        <w:t xml:space="preserve">related to college. In this study, </w:t>
      </w:r>
      <w:r w:rsidR="007754C1">
        <w:t xml:space="preserve">FYNS were surveyed in the fall of 2020 amidst </w:t>
      </w:r>
      <w:r w:rsidR="00457BE6">
        <w:t xml:space="preserve">the </w:t>
      </w:r>
      <w:r w:rsidR="007754C1">
        <w:t xml:space="preserve">COVID pandemic. The impact of the pandemic changed the normal college experience for students to </w:t>
      </w:r>
      <w:r w:rsidR="006E5758">
        <w:t>an environment which ha</w:t>
      </w:r>
      <w:r w:rsidR="00F20F9B">
        <w:t>d</w:t>
      </w:r>
      <w:r w:rsidR="006E5758">
        <w:t xml:space="preserve"> never occurred before</w:t>
      </w:r>
      <w:r w:rsidR="00F20F9B">
        <w:t xml:space="preserve"> in modern times. This turn of events</w:t>
      </w:r>
      <w:r w:rsidR="006E5758">
        <w:t xml:space="preserve"> le</w:t>
      </w:r>
      <w:r w:rsidR="00F20F9B">
        <w:t>ft</w:t>
      </w:r>
      <w:r w:rsidR="006E5758">
        <w:t xml:space="preserve"> students </w:t>
      </w:r>
      <w:r w:rsidR="00F20F9B">
        <w:t>feeling</w:t>
      </w:r>
      <w:r w:rsidR="006E5758">
        <w:t xml:space="preserve"> uncertainty </w:t>
      </w:r>
      <w:r w:rsidR="00457BE6">
        <w:t xml:space="preserve">about </w:t>
      </w:r>
      <w:r w:rsidR="006E5758">
        <w:t xml:space="preserve">how their college experience was going to look and progress. </w:t>
      </w:r>
    </w:p>
    <w:p w14:paraId="35334422" w14:textId="0D41E582" w:rsidR="006E5758" w:rsidRDefault="002A0718" w:rsidP="004612F5">
      <w:r>
        <w:t>D</w:t>
      </w:r>
      <w:r w:rsidR="006E5758">
        <w:t xml:space="preserve">ata gathered showed the majority of FYNS </w:t>
      </w:r>
      <w:r>
        <w:t>have</w:t>
      </w:r>
      <w:r w:rsidR="00457BE6">
        <w:t xml:space="preserve"> </w:t>
      </w:r>
      <w:r w:rsidR="0027603A">
        <w:t xml:space="preserve">a </w:t>
      </w:r>
      <w:r w:rsidR="006E5758">
        <w:t xml:space="preserve">longstanding presence of trait anxiety and clinically significant presence of </w:t>
      </w:r>
      <w:r>
        <w:t xml:space="preserve">state </w:t>
      </w:r>
      <w:r w:rsidR="006E5758">
        <w:t xml:space="preserve">anxiety symptoms with </w:t>
      </w:r>
      <w:r w:rsidR="00621DF2">
        <w:t>most</w:t>
      </w:r>
      <w:r w:rsidR="006E5758">
        <w:t xml:space="preserve"> students using approach or social coping styles to manage</w:t>
      </w:r>
      <w:r w:rsidR="004A11CA">
        <w:t xml:space="preserve"> </w:t>
      </w:r>
      <w:r w:rsidR="00621DF2">
        <w:t>their anxiety</w:t>
      </w:r>
      <w:r w:rsidR="004A11CA">
        <w:t xml:space="preserve">. </w:t>
      </w:r>
      <w:r w:rsidR="004612F5">
        <w:t xml:space="preserve">The study was </w:t>
      </w:r>
      <w:r w:rsidR="004612F5" w:rsidRPr="004612F5">
        <w:t xml:space="preserve">unable to determine where trait anxiety originated from, but possible explanations could be </w:t>
      </w:r>
      <w:r>
        <w:t xml:space="preserve">related to </w:t>
      </w:r>
      <w:r w:rsidR="004612F5" w:rsidRPr="004612F5">
        <w:t xml:space="preserve">their past pandemic experience in high school and changes that occurred </w:t>
      </w:r>
      <w:r w:rsidR="00A9571A">
        <w:t>before</w:t>
      </w:r>
      <w:r w:rsidR="004612F5" w:rsidRPr="004612F5">
        <w:t xml:space="preserve"> starting college</w:t>
      </w:r>
      <w:r w:rsidR="004612F5">
        <w:t>. M</w:t>
      </w:r>
      <w:r w:rsidR="004612F5" w:rsidRPr="004612F5">
        <w:t xml:space="preserve">any students </w:t>
      </w:r>
      <w:r w:rsidR="004612F5">
        <w:t>recently</w:t>
      </w:r>
      <w:r w:rsidR="004612F5" w:rsidRPr="004612F5">
        <w:t xml:space="preserve"> graduated from high school where most had not been in a classroom since the beginning of the year due to social distancing policies and </w:t>
      </w:r>
      <w:r>
        <w:t>complet</w:t>
      </w:r>
      <w:r w:rsidR="00621DF2">
        <w:t>ed</w:t>
      </w:r>
      <w:r>
        <w:t xml:space="preserve"> their senior year</w:t>
      </w:r>
      <w:r w:rsidR="00A9571A">
        <w:t xml:space="preserve"> </w:t>
      </w:r>
      <w:r w:rsidR="004612F5" w:rsidRPr="004612F5">
        <w:t xml:space="preserve">online or hybrid format. </w:t>
      </w:r>
      <w:r w:rsidR="00621DF2">
        <w:t>Many</w:t>
      </w:r>
      <w:r w:rsidR="004612F5" w:rsidRPr="004612F5">
        <w:t xml:space="preserve"> students did not have a normal ending to their high school careers and</w:t>
      </w:r>
      <w:r w:rsidR="00621DF2">
        <w:t xml:space="preserve"> </w:t>
      </w:r>
      <w:r w:rsidR="004612F5" w:rsidRPr="004612F5">
        <w:t>a normal transition to college</w:t>
      </w:r>
      <w:r>
        <w:t xml:space="preserve"> due to the pandemic</w:t>
      </w:r>
      <w:r w:rsidR="004612F5">
        <w:t>. T</w:t>
      </w:r>
      <w:r w:rsidR="004612F5" w:rsidRPr="004612F5">
        <w:t xml:space="preserve">here was also </w:t>
      </w:r>
      <w:r w:rsidR="00A9571A">
        <w:t xml:space="preserve">a </w:t>
      </w:r>
      <w:r w:rsidR="004612F5" w:rsidRPr="004612F5">
        <w:t>clinically significant presence of state anxiety suggest</w:t>
      </w:r>
      <w:r w:rsidR="004612F5">
        <w:t>ing</w:t>
      </w:r>
      <w:r w:rsidR="004612F5" w:rsidRPr="004612F5">
        <w:t xml:space="preserve"> clinically significant symptoms of anxiety related to their current situation</w:t>
      </w:r>
      <w:r w:rsidR="004612F5">
        <w:t>.</w:t>
      </w:r>
    </w:p>
    <w:p w14:paraId="2EC2AE9A" w14:textId="59AC9C04" w:rsidR="00E032F4" w:rsidRDefault="004612F5" w:rsidP="006E5758">
      <w:r>
        <w:t xml:space="preserve">Examining coping styles used under pandemic circumstances showed approach was the </w:t>
      </w:r>
      <w:r w:rsidR="002A0718">
        <w:t>most used</w:t>
      </w:r>
      <w:r>
        <w:t xml:space="preserve"> coping style with 10 students using </w:t>
      </w:r>
      <w:r w:rsidR="009336A6">
        <w:t>approach</w:t>
      </w:r>
      <w:r>
        <w:t xml:space="preserve"> 80% of the time. C</w:t>
      </w:r>
      <w:r w:rsidR="00E032F4">
        <w:t xml:space="preserve">orrelation of </w:t>
      </w:r>
      <w:r w:rsidR="002A0718">
        <w:t>the</w:t>
      </w:r>
      <w:r w:rsidR="00E032F4">
        <w:t xml:space="preserve"> </w:t>
      </w:r>
      <w:r w:rsidR="00F20F9B">
        <w:t>three</w:t>
      </w:r>
      <w:r w:rsidR="00E032F4">
        <w:t xml:space="preserve"> coping style</w:t>
      </w:r>
      <w:r w:rsidR="00594407">
        <w:t>s</w:t>
      </w:r>
      <w:r w:rsidR="00E032F4">
        <w:t xml:space="preserve"> </w:t>
      </w:r>
      <w:r w:rsidR="00594407">
        <w:t>show</w:t>
      </w:r>
      <w:r>
        <w:t>ed</w:t>
      </w:r>
      <w:r w:rsidR="00E032F4">
        <w:t xml:space="preserve"> when students increase the</w:t>
      </w:r>
      <w:r>
        <w:t>ir</w:t>
      </w:r>
      <w:r w:rsidR="00E032F4">
        <w:t xml:space="preserve"> use of a</w:t>
      </w:r>
      <w:r w:rsidR="005F4E5E">
        <w:t>pproach</w:t>
      </w:r>
      <w:r w:rsidR="00E032F4">
        <w:t xml:space="preserve"> there </w:t>
      </w:r>
      <w:r>
        <w:t>was</w:t>
      </w:r>
      <w:r w:rsidR="00E032F4">
        <w:t xml:space="preserve"> </w:t>
      </w:r>
      <w:r w:rsidR="002A0718">
        <w:t>also an</w:t>
      </w:r>
      <w:r w:rsidR="00E032F4">
        <w:t xml:space="preserve"> increase in a</w:t>
      </w:r>
      <w:r w:rsidR="005F4E5E">
        <w:t>vo</w:t>
      </w:r>
      <w:r>
        <w:t>i</w:t>
      </w:r>
      <w:r w:rsidR="005F4E5E">
        <w:t>dance</w:t>
      </w:r>
      <w:r w:rsidR="00E032F4">
        <w:t>. This relationship was statistically significant showing a strong</w:t>
      </w:r>
      <w:r w:rsidR="009336A6">
        <w:t>,</w:t>
      </w:r>
      <w:r w:rsidR="00E032F4">
        <w:t xml:space="preserve"> positive relationship. </w:t>
      </w:r>
      <w:r w:rsidR="00621DF2">
        <w:t>A</w:t>
      </w:r>
      <w:r w:rsidR="00E032F4">
        <w:t xml:space="preserve">pproach </w:t>
      </w:r>
      <w:r w:rsidR="00621DF2">
        <w:t>was</w:t>
      </w:r>
      <w:r w:rsidR="009336A6">
        <w:t xml:space="preserve"> the</w:t>
      </w:r>
      <w:r w:rsidR="00E032F4">
        <w:t xml:space="preserve"> </w:t>
      </w:r>
      <w:r w:rsidR="009336A6">
        <w:t>most used</w:t>
      </w:r>
      <w:r w:rsidR="00E032F4">
        <w:t xml:space="preserve"> coping style but when it is not </w:t>
      </w:r>
      <w:r w:rsidR="009336A6">
        <w:t xml:space="preserve">successful </w:t>
      </w:r>
      <w:r w:rsidR="00621DF2">
        <w:t xml:space="preserve">this </w:t>
      </w:r>
      <w:r w:rsidR="009336A6">
        <w:t>led</w:t>
      </w:r>
      <w:r w:rsidR="00E032F4">
        <w:t xml:space="preserve"> students to resort to avoidanc</w:t>
      </w:r>
      <w:r w:rsidR="009336A6">
        <w:t>e</w:t>
      </w:r>
      <w:r w:rsidR="00594407">
        <w:t>.</w:t>
      </w:r>
      <w:r w:rsidR="00E032F4">
        <w:t xml:space="preserve"> </w:t>
      </w:r>
      <w:r w:rsidRPr="004612F5">
        <w:t xml:space="preserve">There was </w:t>
      </w:r>
      <w:r w:rsidR="00A9571A">
        <w:t xml:space="preserve">a </w:t>
      </w:r>
      <w:r w:rsidRPr="004612F5">
        <w:t xml:space="preserve">weak, positive correlation between approach and social coping styles, but this relationship was not statistically significant. </w:t>
      </w:r>
      <w:r w:rsidR="00D512DD">
        <w:t>Students identified with i</w:t>
      </w:r>
      <w:r w:rsidRPr="004612F5">
        <w:t>ncrease</w:t>
      </w:r>
      <w:r w:rsidR="00A9571A">
        <w:t>d</w:t>
      </w:r>
      <w:r w:rsidRPr="004612F5">
        <w:t xml:space="preserve"> </w:t>
      </w:r>
      <w:r>
        <w:t>use</w:t>
      </w:r>
      <w:r w:rsidR="00D512DD">
        <w:t xml:space="preserve"> </w:t>
      </w:r>
      <w:proofErr w:type="gramStart"/>
      <w:r w:rsidR="00D512DD">
        <w:t xml:space="preserve">of </w:t>
      </w:r>
      <w:r w:rsidRPr="004612F5">
        <w:t xml:space="preserve"> approach</w:t>
      </w:r>
      <w:proofErr w:type="gramEnd"/>
      <w:r w:rsidRPr="004612F5">
        <w:t xml:space="preserve"> students </w:t>
      </w:r>
      <w:r w:rsidR="009336A6">
        <w:t>were also</w:t>
      </w:r>
      <w:r w:rsidRPr="004612F5">
        <w:t xml:space="preserve"> seeking social support to properly cope</w:t>
      </w:r>
      <w:r>
        <w:t xml:space="preserve">. </w:t>
      </w:r>
      <w:r w:rsidRPr="004612F5">
        <w:t xml:space="preserve">There is a weak, positive </w:t>
      </w:r>
      <w:r w:rsidRPr="004612F5">
        <w:lastRenderedPageBreak/>
        <w:t xml:space="preserve">correlation between avoidance and social coping styles, and was found to be statistically significant. </w:t>
      </w:r>
      <w:r w:rsidR="00E032F4">
        <w:t xml:space="preserve">This </w:t>
      </w:r>
      <w:r w:rsidR="00594407">
        <w:t>relationship</w:t>
      </w:r>
      <w:r w:rsidR="00E032F4">
        <w:t xml:space="preserve"> </w:t>
      </w:r>
      <w:r w:rsidR="00621DF2">
        <w:t>was</w:t>
      </w:r>
      <w:r w:rsidR="00E032F4">
        <w:t xml:space="preserve"> </w:t>
      </w:r>
      <w:r w:rsidR="00594407">
        <w:t>because</w:t>
      </w:r>
      <w:r w:rsidR="00E032F4">
        <w:t xml:space="preserve"> social coping</w:t>
      </w:r>
      <w:r w:rsidR="00594407">
        <w:t xml:space="preserve"> </w:t>
      </w:r>
      <w:r w:rsidR="00E032F4">
        <w:t>w</w:t>
      </w:r>
      <w:r w:rsidR="009336A6">
        <w:t>as</w:t>
      </w:r>
      <w:r w:rsidR="00E032F4">
        <w:t xml:space="preserve"> limited due to </w:t>
      </w:r>
      <w:r w:rsidR="009336A6">
        <w:t xml:space="preserve">social </w:t>
      </w:r>
      <w:r w:rsidR="00E032F4">
        <w:t>distancing measures in place due to the pandemic</w:t>
      </w:r>
      <w:r w:rsidR="00D512DD">
        <w:t>. S</w:t>
      </w:r>
      <w:r w:rsidR="00594407">
        <w:t>tudents were not able to form relationships and social supports needed to manage the stress and anxiety of college and academics</w:t>
      </w:r>
      <w:r>
        <w:t xml:space="preserve"> thus causing them to </w:t>
      </w:r>
      <w:r w:rsidR="009336A6">
        <w:t xml:space="preserve">increase their </w:t>
      </w:r>
      <w:r>
        <w:t>use</w:t>
      </w:r>
      <w:r w:rsidR="00D512DD">
        <w:t xml:space="preserve"> of</w:t>
      </w:r>
      <w:r>
        <w:t xml:space="preserve"> avoidance</w:t>
      </w:r>
      <w:r w:rsidR="00594407">
        <w:t xml:space="preserve">. </w:t>
      </w:r>
      <w:r w:rsidR="00621DF2">
        <w:t>Pandemic</w:t>
      </w:r>
      <w:r w:rsidR="00594407">
        <w:t xml:space="preserve"> restrictions could have drastically impacted the results of the survey and coping styles used by students</w:t>
      </w:r>
      <w:r w:rsidR="0077704D">
        <w:t xml:space="preserve">. </w:t>
      </w:r>
    </w:p>
    <w:p w14:paraId="67481A2C" w14:textId="0D950C13" w:rsidR="004612F5" w:rsidRPr="004612F5" w:rsidRDefault="004612F5" w:rsidP="004612F5">
      <w:pPr>
        <w:ind w:firstLine="0"/>
        <w:rPr>
          <w:b/>
          <w:bCs/>
        </w:rPr>
      </w:pPr>
      <w:r w:rsidRPr="004612F5">
        <w:rPr>
          <w:b/>
          <w:bCs/>
        </w:rPr>
        <w:t>State Anxiety</w:t>
      </w:r>
    </w:p>
    <w:p w14:paraId="05BB8052" w14:textId="0466F9C1" w:rsidR="0077704D" w:rsidRDefault="009336A6" w:rsidP="004612F5">
      <w:r>
        <w:t>R</w:t>
      </w:r>
      <w:r w:rsidR="00417FF7">
        <w:t xml:space="preserve">esults of this study </w:t>
      </w:r>
      <w:r w:rsidR="004612F5">
        <w:t>examined</w:t>
      </w:r>
      <w:r w:rsidR="004612F5" w:rsidRPr="004612F5">
        <w:t xml:space="preserve"> individual coping styles </w:t>
      </w:r>
      <w:r>
        <w:t>and the relationship to</w:t>
      </w:r>
      <w:r w:rsidR="004612F5" w:rsidRPr="004612F5">
        <w:t xml:space="preserve"> state anxiety</w:t>
      </w:r>
      <w:r>
        <w:t xml:space="preserve">. </w:t>
      </w:r>
      <w:r w:rsidR="004612F5" w:rsidRPr="004612F5">
        <w:t xml:space="preserve">Approach did have a slight contribution </w:t>
      </w:r>
      <w:r>
        <w:t xml:space="preserve">to state anxiety </w:t>
      </w:r>
      <w:r w:rsidR="004612F5" w:rsidRPr="004612F5">
        <w:t>but was not statistically significant</w:t>
      </w:r>
      <w:r>
        <w:t>.</w:t>
      </w:r>
      <w:r w:rsidR="004612F5">
        <w:t xml:space="preserve"> </w:t>
      </w:r>
      <w:r>
        <w:t>D</w:t>
      </w:r>
      <w:r w:rsidR="004612F5">
        <w:t>emonstrating</w:t>
      </w:r>
      <w:r w:rsidR="004612F5" w:rsidRPr="004612F5">
        <w:t xml:space="preserve"> the use of approach </w:t>
      </w:r>
      <w:r>
        <w:t xml:space="preserve">only </w:t>
      </w:r>
      <w:r w:rsidR="004612F5" w:rsidRPr="004612F5">
        <w:t>slightly contributed to state anxiety but was not statistically significant</w:t>
      </w:r>
      <w:r w:rsidR="004612F5">
        <w:t xml:space="preserve">. </w:t>
      </w:r>
      <w:r>
        <w:t>A</w:t>
      </w:r>
      <w:r w:rsidRPr="004612F5">
        <w:t>voidance significantly predicted and contributed to state anxiety</w:t>
      </w:r>
      <w:r>
        <w:t>. T</w:t>
      </w:r>
      <w:r w:rsidRPr="004612F5">
        <w:t>he increase</w:t>
      </w:r>
      <w:r>
        <w:t>d</w:t>
      </w:r>
      <w:r w:rsidRPr="004612F5">
        <w:t xml:space="preserve"> use of avoidance increased feelings of state anxiety</w:t>
      </w:r>
      <w:r>
        <w:t xml:space="preserve">. A study by Karaca, et al (2019), showed students who used avoidance were at higher risk for mental health problems. </w:t>
      </w:r>
      <w:r w:rsidR="004612F5" w:rsidRPr="004612F5">
        <w:t xml:space="preserve">Social </w:t>
      </w:r>
      <w:r w:rsidR="00621DF2">
        <w:t xml:space="preserve">coping </w:t>
      </w:r>
      <w:r w:rsidR="004612F5" w:rsidRPr="004612F5">
        <w:t xml:space="preserve">did not have a contribution </w:t>
      </w:r>
      <w:r w:rsidR="004612F5">
        <w:t xml:space="preserve">to state anxiety </w:t>
      </w:r>
      <w:r w:rsidR="004612F5" w:rsidRPr="004612F5">
        <w:t>and was not statistically significant</w:t>
      </w:r>
      <w:r w:rsidR="004612F5">
        <w:t>. S</w:t>
      </w:r>
      <w:r w:rsidR="004612F5" w:rsidRPr="004612F5">
        <w:t>ocial coping did not contribute to increas</w:t>
      </w:r>
      <w:r w:rsidR="00FF4E88">
        <w:t>ed</w:t>
      </w:r>
      <w:r w:rsidR="004612F5" w:rsidRPr="004612F5">
        <w:t xml:space="preserve"> feelings of state anxiety</w:t>
      </w:r>
      <w:r w:rsidR="004612F5">
        <w:t xml:space="preserve">. </w:t>
      </w:r>
    </w:p>
    <w:p w14:paraId="6699A0D7" w14:textId="12B36022" w:rsidR="004612F5" w:rsidRPr="004612F5" w:rsidRDefault="004612F5" w:rsidP="004612F5">
      <w:pPr>
        <w:ind w:firstLine="0"/>
        <w:rPr>
          <w:b/>
          <w:bCs/>
        </w:rPr>
      </w:pPr>
      <w:r w:rsidRPr="004612F5">
        <w:rPr>
          <w:b/>
          <w:bCs/>
        </w:rPr>
        <w:t>Trait Anxiety</w:t>
      </w:r>
    </w:p>
    <w:p w14:paraId="4172A61B" w14:textId="7D880620" w:rsidR="004612F5" w:rsidRDefault="00697AD5" w:rsidP="004612F5">
      <w:r>
        <w:t>A</w:t>
      </w:r>
      <w:r w:rsidR="006A3C6B" w:rsidRPr="004612F5">
        <w:t>pproach did not contribu</w:t>
      </w:r>
      <w:r>
        <w:t>te</w:t>
      </w:r>
      <w:r w:rsidR="006A3C6B" w:rsidRPr="004612F5">
        <w:t xml:space="preserve"> to trait anxiety and was not statistically significant</w:t>
      </w:r>
      <w:r w:rsidR="006A3C6B">
        <w:t>. A</w:t>
      </w:r>
      <w:r w:rsidR="004612F5" w:rsidRPr="004612F5">
        <w:t>voidance did not contribu</w:t>
      </w:r>
      <w:r>
        <w:t>te</w:t>
      </w:r>
      <w:r w:rsidR="004612F5" w:rsidRPr="004612F5">
        <w:t xml:space="preserve"> to trait anxiety and was not statistically significant</w:t>
      </w:r>
      <w:r w:rsidR="004612F5">
        <w:t xml:space="preserve">. </w:t>
      </w:r>
      <w:r w:rsidR="004612F5" w:rsidRPr="004612F5">
        <w:t>Social made the strongest contribution although small</w:t>
      </w:r>
      <w:r w:rsidR="006A3C6B">
        <w:t xml:space="preserve"> </w:t>
      </w:r>
      <w:r w:rsidR="004612F5" w:rsidRPr="004612F5">
        <w:t xml:space="preserve">to trait anxiety but </w:t>
      </w:r>
      <w:r>
        <w:t>was</w:t>
      </w:r>
      <w:r w:rsidR="004612F5" w:rsidRPr="004612F5">
        <w:t xml:space="preserve"> </w:t>
      </w:r>
      <w:r w:rsidR="006A3C6B">
        <w:t xml:space="preserve">not </w:t>
      </w:r>
      <w:r w:rsidR="004612F5" w:rsidRPr="004612F5">
        <w:t>statistically significant</w:t>
      </w:r>
      <w:r w:rsidR="004612F5">
        <w:t>. T</w:t>
      </w:r>
      <w:r w:rsidR="004612F5" w:rsidRPr="004612F5">
        <w:t xml:space="preserve">his </w:t>
      </w:r>
      <w:r w:rsidR="004612F5">
        <w:t xml:space="preserve">relationship </w:t>
      </w:r>
      <w:r w:rsidR="004612F5" w:rsidRPr="004612F5">
        <w:t>could be explained by the increase</w:t>
      </w:r>
      <w:r w:rsidR="00A9571A">
        <w:t>d</w:t>
      </w:r>
      <w:r w:rsidR="004612F5" w:rsidRPr="004612F5">
        <w:t xml:space="preserve"> use of social coping </w:t>
      </w:r>
      <w:r>
        <w:t>to manage</w:t>
      </w:r>
      <w:r w:rsidR="004612F5" w:rsidRPr="004612F5">
        <w:t xml:space="preserve"> increase trait anxiety </w:t>
      </w:r>
      <w:r>
        <w:t>but</w:t>
      </w:r>
      <w:r w:rsidR="004612F5" w:rsidRPr="004612F5">
        <w:t xml:space="preserve"> student’s inability to develop social </w:t>
      </w:r>
      <w:r>
        <w:t xml:space="preserve">support and </w:t>
      </w:r>
      <w:r w:rsidR="004612F5" w:rsidRPr="004612F5">
        <w:t>relationships because of pandemic restrictions</w:t>
      </w:r>
      <w:r w:rsidR="004612F5">
        <w:t>.</w:t>
      </w:r>
    </w:p>
    <w:p w14:paraId="665FEF7C" w14:textId="4089A090" w:rsidR="00621DF2" w:rsidRPr="00621DF2" w:rsidRDefault="00621DF2" w:rsidP="00621DF2">
      <w:pPr>
        <w:ind w:firstLine="0"/>
        <w:rPr>
          <w:b/>
          <w:bCs/>
        </w:rPr>
      </w:pPr>
      <w:r>
        <w:rPr>
          <w:b/>
          <w:bCs/>
        </w:rPr>
        <w:t>Overall</w:t>
      </w:r>
    </w:p>
    <w:p w14:paraId="1619F1FD" w14:textId="5B6CEB85" w:rsidR="00453F80" w:rsidRDefault="0027603A" w:rsidP="004612F5">
      <w:r>
        <w:lastRenderedPageBreak/>
        <w:t>Most</w:t>
      </w:r>
      <w:r w:rsidR="00CF6AF2">
        <w:t xml:space="preserve"> </w:t>
      </w:r>
      <w:r w:rsidR="00621DF2">
        <w:t>students</w:t>
      </w:r>
      <w:r w:rsidR="00CF6AF2">
        <w:t xml:space="preserve"> had </w:t>
      </w:r>
      <w:r w:rsidR="00D512DD">
        <w:t xml:space="preserve">minimal </w:t>
      </w:r>
      <w:r w:rsidR="0028655B">
        <w:t xml:space="preserve">college </w:t>
      </w:r>
      <w:r w:rsidR="00CF6AF2">
        <w:t>experience</w:t>
      </w:r>
      <w:r w:rsidR="0028655B">
        <w:t>.</w:t>
      </w:r>
      <w:r w:rsidR="00747F36">
        <w:t xml:space="preserve"> </w:t>
      </w:r>
      <w:r w:rsidR="00142102">
        <w:t>C</w:t>
      </w:r>
      <w:r w:rsidR="00453F80">
        <w:t>omparing first-year college students to final-year students, first-year students struggle</w:t>
      </w:r>
      <w:r w:rsidR="00697AD5">
        <w:t>d</w:t>
      </w:r>
      <w:r w:rsidR="00453F80">
        <w:t xml:space="preserve"> more with anxiety (Li et al., 2018). In a study </w:t>
      </w:r>
      <w:r w:rsidR="00697AD5">
        <w:t>comparing</w:t>
      </w:r>
      <w:r w:rsidR="00453F80">
        <w:t xml:space="preserve"> </w:t>
      </w:r>
      <w:r w:rsidR="006A3C6B">
        <w:t>FYNS</w:t>
      </w:r>
      <w:r w:rsidR="00453F80">
        <w:t xml:space="preserve"> to senior nursing students </w:t>
      </w:r>
      <w:r w:rsidR="006A3C6B">
        <w:t xml:space="preserve">the </w:t>
      </w:r>
      <w:r w:rsidR="00453F80">
        <w:t>year of study</w:t>
      </w:r>
      <w:r w:rsidR="006A3C6B">
        <w:t xml:space="preserve"> strongly influenced </w:t>
      </w:r>
      <w:r w:rsidR="00453F80">
        <w:t>their level of stress with more experience</w:t>
      </w:r>
      <w:r w:rsidR="006A3C6B">
        <w:t>d</w:t>
      </w:r>
      <w:r w:rsidR="00453F80">
        <w:t xml:space="preserve"> nursing students using positive coping styles and having decrease</w:t>
      </w:r>
      <w:r w:rsidR="006A3C6B">
        <w:t>d</w:t>
      </w:r>
      <w:r w:rsidR="00453F80">
        <w:t xml:space="preserve"> levels of stress (Labrague, McEnroe-Petitte, Papathanasiou, et al., 2018). Lazarus and Folkman</w:t>
      </w:r>
      <w:r w:rsidR="00AC654E">
        <w:t>’s</w:t>
      </w:r>
      <w:r w:rsidR="00453F80">
        <w:t xml:space="preserve"> theory regarding appraisal showed a pattern in the way an individual appraises a situation greatly influences their coping process and how they react emotionally. Individuals use </w:t>
      </w:r>
      <w:r w:rsidR="00D512DD">
        <w:t>two</w:t>
      </w:r>
      <w:r w:rsidR="00453F80">
        <w:t xml:space="preserve"> basic forms of appraisal. Primary appraisal </w:t>
      </w:r>
      <w:r w:rsidR="000A4FAD">
        <w:t>determin</w:t>
      </w:r>
      <w:r w:rsidR="006A3C6B">
        <w:t>es</w:t>
      </w:r>
      <w:r w:rsidR="000A4FAD">
        <w:t xml:space="preserve"> </w:t>
      </w:r>
      <w:r w:rsidR="00453F80">
        <w:t xml:space="preserve">what is at stake for the person regarding threats posed, harm, </w:t>
      </w:r>
      <w:r w:rsidR="000A4FAD">
        <w:t xml:space="preserve">or </w:t>
      </w:r>
      <w:r w:rsidR="00453F80">
        <w:t>significant gains and potential cost and/or benefit</w:t>
      </w:r>
      <w:r w:rsidR="000A4FAD">
        <w:t xml:space="preserve"> to the individual</w:t>
      </w:r>
      <w:r w:rsidR="00142102">
        <w:t xml:space="preserve">. </w:t>
      </w:r>
      <w:r w:rsidR="00A9571A">
        <w:t>A s</w:t>
      </w:r>
      <w:r w:rsidR="00453F80">
        <w:t xml:space="preserve">econdary appraisal </w:t>
      </w:r>
      <w:r w:rsidR="000A4FAD">
        <w:t xml:space="preserve">is used to </w:t>
      </w:r>
      <w:r w:rsidR="00453F80">
        <w:t xml:space="preserve">evaluate which coping </w:t>
      </w:r>
      <w:r w:rsidR="008C5A7C">
        <w:t>style</w:t>
      </w:r>
      <w:r w:rsidR="00453F80">
        <w:t xml:space="preserve"> to use depending on resources and options available (Lazarus &amp; Folkman, 1984). Freshmen students</w:t>
      </w:r>
      <w:r w:rsidR="00AC654E">
        <w:t>,</w:t>
      </w:r>
      <w:r w:rsidR="00453F80">
        <w:t xml:space="preserve"> </w:t>
      </w:r>
      <w:r w:rsidR="00697AD5">
        <w:t xml:space="preserve">who </w:t>
      </w:r>
      <w:r w:rsidR="00453F80">
        <w:t xml:space="preserve">do not have </w:t>
      </w:r>
      <w:r w:rsidR="00AC654E">
        <w:t>past</w:t>
      </w:r>
      <w:r w:rsidR="00453F80">
        <w:t xml:space="preserve"> </w:t>
      </w:r>
      <w:r w:rsidR="00621DF2">
        <w:t xml:space="preserve">college </w:t>
      </w:r>
      <w:r w:rsidR="00453F80">
        <w:t>experience</w:t>
      </w:r>
      <w:r w:rsidR="000A4FAD">
        <w:t>s</w:t>
      </w:r>
      <w:r w:rsidR="00621DF2">
        <w:t xml:space="preserve"> and</w:t>
      </w:r>
      <w:r w:rsidR="000A4FAD">
        <w:t xml:space="preserve"> </w:t>
      </w:r>
      <w:r w:rsidR="00453F80">
        <w:t>t</w:t>
      </w:r>
      <w:r w:rsidR="00697AD5">
        <w:t>he ability</w:t>
      </w:r>
      <w:r w:rsidR="00453F80">
        <w:t xml:space="preserve"> to accurately appraise the stress of school </w:t>
      </w:r>
      <w:r w:rsidR="00621DF2">
        <w:t>limits their ability to determine</w:t>
      </w:r>
      <w:r w:rsidR="00453F80">
        <w:t xml:space="preserve"> which coping style</w:t>
      </w:r>
      <w:r w:rsidR="00697AD5">
        <w:t xml:space="preserve"> is limited</w:t>
      </w:r>
      <w:r w:rsidR="00453F80">
        <w:t xml:space="preserve">. Whereas senior nursing students </w:t>
      </w:r>
      <w:proofErr w:type="gramStart"/>
      <w:r w:rsidR="00186192">
        <w:t>are</w:t>
      </w:r>
      <w:r w:rsidR="00453F80">
        <w:t xml:space="preserve"> able to</w:t>
      </w:r>
      <w:proofErr w:type="gramEnd"/>
      <w:r w:rsidR="00453F80">
        <w:t xml:space="preserve"> use past </w:t>
      </w:r>
      <w:r w:rsidR="00697AD5">
        <w:t>appraisals</w:t>
      </w:r>
      <w:r w:rsidR="00453F80">
        <w:t xml:space="preserve"> and </w:t>
      </w:r>
      <w:r w:rsidR="00697AD5">
        <w:t>experiences</w:t>
      </w:r>
      <w:r w:rsidR="00453F80">
        <w:t xml:space="preserve"> within the nursing program to accurately assess stressor</w:t>
      </w:r>
      <w:r w:rsidR="00697AD5">
        <w:t>s</w:t>
      </w:r>
      <w:r w:rsidR="00453F80">
        <w:t xml:space="preserve"> and </w:t>
      </w:r>
      <w:r w:rsidR="009A6730">
        <w:t>develop positive</w:t>
      </w:r>
      <w:r w:rsidR="00453F80">
        <w:t xml:space="preserve"> coping styles. </w:t>
      </w:r>
    </w:p>
    <w:p w14:paraId="041EF23F" w14:textId="1F451B8F" w:rsidR="00453F80" w:rsidRDefault="009A6730" w:rsidP="00453F80">
      <w:r>
        <w:t xml:space="preserve">Purdue </w:t>
      </w:r>
      <w:r w:rsidR="005C2354">
        <w:t>U</w:t>
      </w:r>
      <w:r w:rsidR="00CF6AF2">
        <w:t>niversity</w:t>
      </w:r>
      <w:r>
        <w:t xml:space="preserve"> COVID</w:t>
      </w:r>
      <w:r w:rsidR="00CF6AF2">
        <w:t xml:space="preserve"> </w:t>
      </w:r>
      <w:r>
        <w:t>restrictions</w:t>
      </w:r>
      <w:r w:rsidR="00CF6AF2">
        <w:t xml:space="preserve"> </w:t>
      </w:r>
      <w:r w:rsidR="00453F80">
        <w:t>d</w:t>
      </w:r>
      <w:r>
        <w:t>o</w:t>
      </w:r>
      <w:r w:rsidR="00453F80">
        <w:t xml:space="preserve"> </w:t>
      </w:r>
      <w:r w:rsidR="00CF6AF2">
        <w:t>not allow any in-person classe</w:t>
      </w:r>
      <w:r w:rsidR="00275905">
        <w:t>s</w:t>
      </w:r>
      <w:r w:rsidR="00CF6AF2">
        <w:t xml:space="preserve"> during th</w:t>
      </w:r>
      <w:r w:rsidR="00E24C46">
        <w:t>e</w:t>
      </w:r>
      <w:r w:rsidR="00CF6AF2">
        <w:t xml:space="preserve"> </w:t>
      </w:r>
      <w:r>
        <w:t xml:space="preserve">2020 </w:t>
      </w:r>
      <w:r w:rsidR="00453F80">
        <w:t xml:space="preserve">fall </w:t>
      </w:r>
      <w:r w:rsidR="00CF6AF2">
        <w:t>semester</w:t>
      </w:r>
      <w:r w:rsidR="00453F80">
        <w:t>.</w:t>
      </w:r>
      <w:r w:rsidR="00CF6AF2">
        <w:t xml:space="preserve"> </w:t>
      </w:r>
      <w:r w:rsidR="00453F80">
        <w:t>S</w:t>
      </w:r>
      <w:r w:rsidR="00CF6AF2">
        <w:t>tudents were isolated to their residence</w:t>
      </w:r>
      <w:r w:rsidR="00E24C46">
        <w:t xml:space="preserve"> preventing</w:t>
      </w:r>
      <w:r w:rsidR="00CF6AF2">
        <w:t xml:space="preserve"> them </w:t>
      </w:r>
      <w:r w:rsidR="00E24C46">
        <w:t>from</w:t>
      </w:r>
      <w:r w:rsidR="00CF6AF2">
        <w:t xml:space="preserve"> establish</w:t>
      </w:r>
      <w:r w:rsidR="00E24C46">
        <w:t>ing</w:t>
      </w:r>
      <w:r w:rsidR="00CF6AF2">
        <w:t xml:space="preserve"> normal social supports between </w:t>
      </w:r>
      <w:r w:rsidR="00142102">
        <w:t xml:space="preserve">other </w:t>
      </w:r>
      <w:r w:rsidR="00CF6AF2">
        <w:t>students</w:t>
      </w:r>
      <w:r w:rsidR="00186192">
        <w:t xml:space="preserve">, </w:t>
      </w:r>
      <w:r w:rsidR="00CF6AF2">
        <w:t>educators</w:t>
      </w:r>
      <w:r w:rsidR="00186192">
        <w:t>,</w:t>
      </w:r>
      <w:r w:rsidR="00142102">
        <w:t xml:space="preserve"> and faculty</w:t>
      </w:r>
      <w:r w:rsidR="00CF6AF2">
        <w:t xml:space="preserve">. </w:t>
      </w:r>
      <w:r w:rsidR="00453F80">
        <w:t>Social isolation is</w:t>
      </w:r>
      <w:r w:rsidR="0027603A">
        <w:t xml:space="preserve"> the</w:t>
      </w:r>
      <w:r w:rsidR="00453F80">
        <w:t xml:space="preserve"> inadequate quality and quantity of social interaction </w:t>
      </w:r>
      <w:r w:rsidR="00142102">
        <w:t>between</w:t>
      </w:r>
      <w:r w:rsidR="00453F80">
        <w:t xml:space="preserve"> individuals, groups, or communities (Ray et al., 2018). </w:t>
      </w:r>
      <w:r w:rsidR="0027603A">
        <w:t>Most</w:t>
      </w:r>
      <w:r w:rsidR="00453F80">
        <w:t xml:space="preserve"> American</w:t>
      </w:r>
      <w:r w:rsidR="000A4FAD">
        <w:t>s</w:t>
      </w:r>
      <w:r w:rsidR="00453F80">
        <w:t xml:space="preserve"> f</w:t>
      </w:r>
      <w:r w:rsidR="00186192">
        <w:t xml:space="preserve">ound </w:t>
      </w:r>
      <w:r w:rsidR="00453F80">
        <w:t>themselves lonely</w:t>
      </w:r>
      <w:r w:rsidR="0086757E">
        <w:t xml:space="preserve"> </w:t>
      </w:r>
      <w:r w:rsidR="0027603A">
        <w:t>before</w:t>
      </w:r>
      <w:r w:rsidR="0086757E">
        <w:t xml:space="preserve"> the pandemic,</w:t>
      </w:r>
      <w:r w:rsidR="00453F80">
        <w:t xml:space="preserve"> but Generation Z and Millennials </w:t>
      </w:r>
      <w:r w:rsidR="0086757E">
        <w:t>were</w:t>
      </w:r>
      <w:r w:rsidR="00453F80">
        <w:t xml:space="preserve"> shown to be lonelier and in worse health compared </w:t>
      </w:r>
      <w:r w:rsidR="00AC654E">
        <w:t xml:space="preserve">to </w:t>
      </w:r>
      <w:r w:rsidR="00453F80">
        <w:t xml:space="preserve">older generations (Ray et al., 2018). </w:t>
      </w:r>
      <w:r w:rsidR="00AC654E">
        <w:t xml:space="preserve">A </w:t>
      </w:r>
      <w:r w:rsidR="00453F80">
        <w:t xml:space="preserve">study by Vora and Kinney (2018), found </w:t>
      </w:r>
      <w:r w:rsidR="00186192">
        <w:t xml:space="preserve">in </w:t>
      </w:r>
      <w:r w:rsidR="00453F80">
        <w:t>medical schools wh</w:t>
      </w:r>
      <w:r w:rsidR="000A4FAD">
        <w:t>ose</w:t>
      </w:r>
      <w:r w:rsidR="00453F80">
        <w:t xml:space="preserve"> curriculum included more distance learning there was a decrease in student connectivity, a sense of </w:t>
      </w:r>
      <w:r w:rsidR="00453F80">
        <w:lastRenderedPageBreak/>
        <w:t xml:space="preserve">community, and academic satisfaction (Ray et al, 2018). Ray et al, (2018) also noted </w:t>
      </w:r>
      <w:r w:rsidR="00AC654E">
        <w:t xml:space="preserve">an </w:t>
      </w:r>
      <w:r w:rsidR="00453F80">
        <w:t xml:space="preserve">increase in social isolation among nursing students compared to other health science students. With </w:t>
      </w:r>
      <w:r w:rsidR="0027603A">
        <w:t xml:space="preserve">the </w:t>
      </w:r>
      <w:r w:rsidR="00453F80">
        <w:t>increase in distance learning and social isolation</w:t>
      </w:r>
      <w:r w:rsidR="0027603A">
        <w:t>,</w:t>
      </w:r>
      <w:r w:rsidR="0086757E">
        <w:t xml:space="preserve"> </w:t>
      </w:r>
      <w:r w:rsidR="00453F80">
        <w:t xml:space="preserve">the social support needed to manage </w:t>
      </w:r>
      <w:r w:rsidR="0086757E">
        <w:t>anxiety</w:t>
      </w:r>
      <w:r w:rsidR="00453F80">
        <w:t xml:space="preserve"> and </w:t>
      </w:r>
      <w:r w:rsidR="0086757E">
        <w:t>stress</w:t>
      </w:r>
      <w:r w:rsidR="00453F80">
        <w:t xml:space="preserve"> of being a college student w</w:t>
      </w:r>
      <w:r w:rsidR="00186192">
        <w:t>as</w:t>
      </w:r>
      <w:r w:rsidR="00453F80">
        <w:t xml:space="preserve"> not developed throughout the semester.</w:t>
      </w:r>
    </w:p>
    <w:p w14:paraId="68CD7E29" w14:textId="7170DAB0" w:rsidR="0012355F" w:rsidRDefault="00C75E78" w:rsidP="00A74DA0">
      <w:pPr>
        <w:ind w:firstLine="0"/>
      </w:pPr>
      <w:r>
        <w:tab/>
      </w:r>
      <w:r w:rsidR="0086757E">
        <w:t>P</w:t>
      </w:r>
      <w:r>
        <w:t xml:space="preserve">revious research </w:t>
      </w:r>
      <w:r w:rsidR="00186192">
        <w:t>showed</w:t>
      </w:r>
      <w:r w:rsidR="0086757E">
        <w:t xml:space="preserve"> </w:t>
      </w:r>
      <w:r>
        <w:t xml:space="preserve">coping styles used by nursing </w:t>
      </w:r>
      <w:r w:rsidR="00C100F9">
        <w:t xml:space="preserve">students </w:t>
      </w:r>
      <w:r w:rsidR="0086757E">
        <w:t>w</w:t>
      </w:r>
      <w:r w:rsidR="0027603A">
        <w:t>as</w:t>
      </w:r>
      <w:r w:rsidR="00142102">
        <w:t xml:space="preserve"> typically</w:t>
      </w:r>
      <w:r w:rsidR="00C100F9">
        <w:t xml:space="preserve"> problem-based </w:t>
      </w:r>
      <w:r w:rsidR="004612F5">
        <w:t xml:space="preserve">(approach) </w:t>
      </w:r>
      <w:r w:rsidR="00C100F9">
        <w:t xml:space="preserve">coping versus emotional-based </w:t>
      </w:r>
      <w:r w:rsidR="00186192">
        <w:t>coping</w:t>
      </w:r>
      <w:r w:rsidR="00C100F9">
        <w:t xml:space="preserve"> (Bhurtu</w:t>
      </w:r>
      <w:r w:rsidR="00120306">
        <w:t>n</w:t>
      </w:r>
      <w:r w:rsidR="001D2DB2">
        <w:t xml:space="preserve"> et al.</w:t>
      </w:r>
      <w:r w:rsidR="00C100F9">
        <w:t xml:space="preserve">, 2019). </w:t>
      </w:r>
      <w:r w:rsidR="0086757E">
        <w:t>P</w:t>
      </w:r>
      <w:r w:rsidR="005B04CE">
        <w:t>roblem</w:t>
      </w:r>
      <w:r w:rsidR="00275905">
        <w:t>-</w:t>
      </w:r>
      <w:r w:rsidR="005B04CE">
        <w:t xml:space="preserve">solving coping styles </w:t>
      </w:r>
      <w:r w:rsidR="00186192">
        <w:t xml:space="preserve">are </w:t>
      </w:r>
      <w:r w:rsidR="005B04CE">
        <w:t>most effective in dealing with stress (Labrague, McEnroe-</w:t>
      </w:r>
      <w:r w:rsidR="00120306">
        <w:t>Petitte</w:t>
      </w:r>
      <w:r w:rsidR="005B04CE">
        <w:t xml:space="preserve">, Papathanasiou, Edet, </w:t>
      </w:r>
      <w:r w:rsidR="008A34FA">
        <w:t xml:space="preserve">et al., </w:t>
      </w:r>
      <w:r w:rsidR="005B04CE">
        <w:t xml:space="preserve">2018). </w:t>
      </w:r>
      <w:r w:rsidR="00C100F9">
        <w:t xml:space="preserve">Problem-based coping </w:t>
      </w:r>
      <w:r w:rsidR="0086757E">
        <w:t>include</w:t>
      </w:r>
      <w:r w:rsidR="0027603A">
        <w:t>s</w:t>
      </w:r>
      <w:r w:rsidR="00C100F9">
        <w:t xml:space="preserve"> problem-solving, positive attitude, using previous experience, seeing things objectively, and establishing clear objectives and goals. </w:t>
      </w:r>
      <w:r w:rsidR="0086757E">
        <w:t>S</w:t>
      </w:r>
      <w:r w:rsidR="00193C94">
        <w:t>tudents who experienc</w:t>
      </w:r>
      <w:r w:rsidR="0086757E">
        <w:t>e</w:t>
      </w:r>
      <w:r w:rsidR="00193C94">
        <w:t xml:space="preserve"> high levels of stress use less positive coping and demonstrate increased levels of anxiety and depression (Coiro et al., 2017). </w:t>
      </w:r>
      <w:r w:rsidR="0086757E">
        <w:t>Nursing students</w:t>
      </w:r>
      <w:r w:rsidR="00C100F9">
        <w:t xml:space="preserve"> who use emotional-based coping are under moderate to high levels of stress and tend to be younger nursing students </w:t>
      </w:r>
      <w:r w:rsidR="0012355F">
        <w:t>(</w:t>
      </w:r>
      <w:r w:rsidR="00120306">
        <w:t>Bhurtun</w:t>
      </w:r>
      <w:r w:rsidR="008A34FA">
        <w:t xml:space="preserve"> et al., </w:t>
      </w:r>
      <w:r w:rsidR="0012355F">
        <w:t>2019).</w:t>
      </w:r>
      <w:r w:rsidR="00051F0D">
        <w:t xml:space="preserve"> </w:t>
      </w:r>
      <w:r w:rsidR="00453F80">
        <w:t xml:space="preserve">In a study by Coiro et al. (2017), </w:t>
      </w:r>
      <w:r w:rsidR="00570B25">
        <w:t xml:space="preserve">students’ effort to use avoidance as a coping style may not always be adaptive or maladaptive. </w:t>
      </w:r>
      <w:r w:rsidR="00186192">
        <w:t>A</w:t>
      </w:r>
      <w:r w:rsidR="0086757E">
        <w:t>voidance</w:t>
      </w:r>
      <w:r w:rsidR="00C14700">
        <w:t xml:space="preserve"> </w:t>
      </w:r>
      <w:r w:rsidR="00186192">
        <w:t xml:space="preserve">coping </w:t>
      </w:r>
      <w:r w:rsidR="00C14700">
        <w:t xml:space="preserve">was found to be used by </w:t>
      </w:r>
      <w:r w:rsidR="00186192">
        <w:t>students</w:t>
      </w:r>
      <w:r w:rsidR="00C14700">
        <w:t xml:space="preserve"> who were experienc</w:t>
      </w:r>
      <w:r w:rsidR="00186192">
        <w:t>ed</w:t>
      </w:r>
      <w:r w:rsidR="00C14700">
        <w:t xml:space="preserve"> increase</w:t>
      </w:r>
      <w:r w:rsidR="00A9571A">
        <w:t>d</w:t>
      </w:r>
      <w:r w:rsidR="00C14700">
        <w:t xml:space="preserve"> levels of stress due to the need to disengage from the stressor</w:t>
      </w:r>
      <w:r w:rsidR="00D81218">
        <w:t>.</w:t>
      </w:r>
    </w:p>
    <w:p w14:paraId="23DEC440" w14:textId="63DBD89E" w:rsidR="004612F5" w:rsidRDefault="004612F5" w:rsidP="004612F5">
      <w:r w:rsidRPr="004612F5">
        <w:t>The limited resources of mental health on college universities and campuses will continue to negatively impact student’s mental health</w:t>
      </w:r>
      <w:r>
        <w:t>.</w:t>
      </w:r>
      <w:r w:rsidRPr="004612F5">
        <w:t xml:space="preserve"> </w:t>
      </w:r>
      <w:r>
        <w:t>I</w:t>
      </w:r>
      <w:r w:rsidRPr="004612F5">
        <w:t>ncreasing accessibility and services available to college students can improve the</w:t>
      </w:r>
      <w:r w:rsidR="0086757E">
        <w:t>ir</w:t>
      </w:r>
      <w:r w:rsidRPr="004612F5">
        <w:t xml:space="preserve"> college experience </w:t>
      </w:r>
      <w:r w:rsidR="0086757E">
        <w:t>and</w:t>
      </w:r>
      <w:r w:rsidRPr="004612F5">
        <w:t xml:space="preserve"> help these young adults develop effective coping</w:t>
      </w:r>
      <w:r>
        <w:t>. M</w:t>
      </w:r>
      <w:r w:rsidRPr="004612F5">
        <w:t xml:space="preserve">ental health services </w:t>
      </w:r>
      <w:r w:rsidR="000B582F">
        <w:t xml:space="preserve">need to be </w:t>
      </w:r>
      <w:r w:rsidRPr="004612F5">
        <w:t>readily available and easy to access</w:t>
      </w:r>
      <w:r w:rsidR="000B582F">
        <w:t xml:space="preserve"> to</w:t>
      </w:r>
      <w:r w:rsidRPr="004612F5">
        <w:t xml:space="preserve"> prevent anxiety from developing into maladaptive </w:t>
      </w:r>
      <w:r w:rsidR="0086757E">
        <w:t>anxiety which</w:t>
      </w:r>
      <w:r w:rsidRPr="004612F5">
        <w:t xml:space="preserve"> </w:t>
      </w:r>
      <w:r w:rsidR="000B582F">
        <w:t>then</w:t>
      </w:r>
      <w:r w:rsidRPr="004612F5">
        <w:t xml:space="preserve"> lead</w:t>
      </w:r>
      <w:r w:rsidR="000B582F">
        <w:t>s</w:t>
      </w:r>
      <w:r w:rsidRPr="004612F5">
        <w:t xml:space="preserve"> to negative behaviors ultimately lead</w:t>
      </w:r>
      <w:r w:rsidR="0086757E">
        <w:t>ing</w:t>
      </w:r>
      <w:r w:rsidRPr="004612F5">
        <w:t xml:space="preserve"> to students being unsuccessful</w:t>
      </w:r>
      <w:r>
        <w:t>.</w:t>
      </w:r>
    </w:p>
    <w:p w14:paraId="25186FEC" w14:textId="21BDBD24" w:rsidR="002E55B9" w:rsidRDefault="002E55B9" w:rsidP="00A74DA0">
      <w:pPr>
        <w:ind w:firstLine="0"/>
      </w:pPr>
      <w:r>
        <w:rPr>
          <w:b/>
          <w:bCs/>
        </w:rPr>
        <w:t>Limitations</w:t>
      </w:r>
    </w:p>
    <w:p w14:paraId="15B9B69B" w14:textId="4B028588" w:rsidR="004612F5" w:rsidRDefault="00D81218" w:rsidP="004612F5">
      <w:r>
        <w:lastRenderedPageBreak/>
        <w:t xml:space="preserve">There </w:t>
      </w:r>
      <w:r w:rsidR="000B582F">
        <w:t xml:space="preserve">were </w:t>
      </w:r>
      <w:r>
        <w:t xml:space="preserve">some limitations to the information gathered in this study. </w:t>
      </w:r>
      <w:r w:rsidR="0086757E">
        <w:t>S</w:t>
      </w:r>
      <w:r w:rsidR="004612F5" w:rsidRPr="004612F5">
        <w:t xml:space="preserve">urveying students </w:t>
      </w:r>
      <w:r w:rsidR="000B582F">
        <w:t xml:space="preserve">only </w:t>
      </w:r>
      <w:r w:rsidR="004612F5">
        <w:t xml:space="preserve">once instead of </w:t>
      </w:r>
      <w:r w:rsidR="004612F5" w:rsidRPr="004612F5">
        <w:t>multiple times through their college experience</w:t>
      </w:r>
      <w:r w:rsidR="004612F5">
        <w:t xml:space="preserve"> d</w:t>
      </w:r>
      <w:r w:rsidR="000B582F">
        <w:t>id</w:t>
      </w:r>
      <w:r w:rsidR="004612F5">
        <w:t xml:space="preserve"> not provide a full picture of student’s mental health. F</w:t>
      </w:r>
      <w:r w:rsidR="004612F5" w:rsidRPr="004612F5">
        <w:t>ollowing students through</w:t>
      </w:r>
      <w:r w:rsidR="000B582F">
        <w:t>out</w:t>
      </w:r>
      <w:r w:rsidR="004612F5" w:rsidRPr="004612F5">
        <w:t xml:space="preserve"> their nursing career to </w:t>
      </w:r>
      <w:r w:rsidR="00A5410C">
        <w:t>monitor</w:t>
      </w:r>
      <w:r w:rsidR="004612F5" w:rsidRPr="004612F5">
        <w:t xml:space="preserve"> changes as they learn and mature</w:t>
      </w:r>
      <w:r w:rsidR="004612F5">
        <w:t>. C</w:t>
      </w:r>
      <w:r w:rsidR="004612F5" w:rsidRPr="004612F5">
        <w:t>omparing results as they progress through college and mature as individuals</w:t>
      </w:r>
      <w:r w:rsidR="00A5410C">
        <w:t xml:space="preserve"> to</w:t>
      </w:r>
      <w:r w:rsidR="004612F5" w:rsidRPr="004612F5">
        <w:t xml:space="preserve"> better understand how their appraisal process changes and </w:t>
      </w:r>
      <w:r w:rsidR="0027603A">
        <w:t xml:space="preserve">the </w:t>
      </w:r>
      <w:r w:rsidR="004612F5" w:rsidRPr="004612F5">
        <w:t>use of different coping styles develop</w:t>
      </w:r>
      <w:r w:rsidR="004612F5">
        <w:t>. I</w:t>
      </w:r>
      <w:r w:rsidR="004612F5" w:rsidRPr="004612F5">
        <w:t>ndividuals of this age have limited insight due to their lack of world experience</w:t>
      </w:r>
      <w:r w:rsidR="004612F5">
        <w:t>. I</w:t>
      </w:r>
      <w:r w:rsidR="004612F5" w:rsidRPr="004612F5">
        <w:t>nsight requires individual</w:t>
      </w:r>
      <w:r w:rsidR="00A5410C">
        <w:t>s</w:t>
      </w:r>
      <w:r w:rsidR="004612F5" w:rsidRPr="004612F5">
        <w:t xml:space="preserve"> to maneuver through situations with understanding and</w:t>
      </w:r>
      <w:r w:rsidR="004612F5">
        <w:t xml:space="preserve"> </w:t>
      </w:r>
      <w:r w:rsidR="004612F5" w:rsidRPr="004612F5">
        <w:t>having direct introspective access to higher cognitive processes (Harrison, 1996)</w:t>
      </w:r>
      <w:r w:rsidR="004612F5">
        <w:t>. L</w:t>
      </w:r>
      <w:r w:rsidR="004612F5" w:rsidRPr="004612F5">
        <w:t>imited insight is not always considered a flaw but can be described as the lack of awareness, consequences, and how best to manage the situati</w:t>
      </w:r>
      <w:r w:rsidR="004612F5">
        <w:t>on. S</w:t>
      </w:r>
      <w:r w:rsidR="004612F5" w:rsidRPr="004612F5">
        <w:t>tudents surveyed were</w:t>
      </w:r>
      <w:r w:rsidR="004612F5">
        <w:t xml:space="preserve"> </w:t>
      </w:r>
      <w:r w:rsidR="000B582F">
        <w:t xml:space="preserve">an </w:t>
      </w:r>
      <w:r w:rsidR="004612F5" w:rsidRPr="004612F5">
        <w:t>average age 18-19 years old and have none to</w:t>
      </w:r>
      <w:r w:rsidR="004612F5">
        <w:t>o</w:t>
      </w:r>
      <w:r w:rsidR="004612F5" w:rsidRPr="004612F5">
        <w:t xml:space="preserve"> little college experience limiting their ability to </w:t>
      </w:r>
      <w:r w:rsidR="00A5410C">
        <w:t>use</w:t>
      </w:r>
      <w:r w:rsidR="004612F5" w:rsidRPr="004612F5">
        <w:t xml:space="preserve"> previous experiences manage anxiety they </w:t>
      </w:r>
      <w:r w:rsidR="000B582F">
        <w:t>were</w:t>
      </w:r>
      <w:r w:rsidR="004612F5" w:rsidRPr="004612F5">
        <w:t xml:space="preserve"> experiencing. </w:t>
      </w:r>
      <w:r w:rsidR="00D512DD">
        <w:t>S</w:t>
      </w:r>
      <w:r w:rsidR="00A5410C">
        <w:t xml:space="preserve">urveying </w:t>
      </w:r>
      <w:r w:rsidR="00D512DD">
        <w:t>multiples</w:t>
      </w:r>
      <w:r w:rsidR="004612F5" w:rsidRPr="004612F5">
        <w:t xml:space="preserve"> school</w:t>
      </w:r>
      <w:r w:rsidR="00D512DD">
        <w:t>s</w:t>
      </w:r>
      <w:r w:rsidR="004612F5" w:rsidRPr="004612F5">
        <w:t xml:space="preserve"> of nursing</w:t>
      </w:r>
      <w:r w:rsidR="004612F5">
        <w:t xml:space="preserve"> instead</w:t>
      </w:r>
      <w:r w:rsidR="004612F5" w:rsidRPr="004612F5">
        <w:t xml:space="preserve"> of </w:t>
      </w:r>
      <w:r w:rsidR="00D512DD">
        <w:t xml:space="preserve">only one </w:t>
      </w:r>
      <w:r w:rsidR="004612F5" w:rsidRPr="004612F5">
        <w:t xml:space="preserve">would give a better representation of all nursing students and their experience </w:t>
      </w:r>
      <w:r w:rsidR="00A5410C">
        <w:t>in</w:t>
      </w:r>
      <w:r w:rsidR="004612F5" w:rsidRPr="004612F5">
        <w:t xml:space="preserve"> nursing school.</w:t>
      </w:r>
      <w:r w:rsidR="004612F5">
        <w:t xml:space="preserve"> T</w:t>
      </w:r>
      <w:r w:rsidR="004612F5" w:rsidRPr="004612F5">
        <w:t xml:space="preserve">he results of this study may not </w:t>
      </w:r>
      <w:r w:rsidR="00A9571A">
        <w:t xml:space="preserve">apply </w:t>
      </w:r>
      <w:r w:rsidR="004612F5" w:rsidRPr="004612F5">
        <w:t>to non-pandemic periods</w:t>
      </w:r>
      <w:r w:rsidR="004612F5">
        <w:t xml:space="preserve"> </w:t>
      </w:r>
      <w:r w:rsidR="00A5410C">
        <w:t xml:space="preserve">due to being </w:t>
      </w:r>
      <w:r w:rsidR="004612F5" w:rsidRPr="004612F5">
        <w:t xml:space="preserve">conducted </w:t>
      </w:r>
      <w:r w:rsidR="00A9571A">
        <w:t>amid</w:t>
      </w:r>
      <w:r w:rsidR="004612F5" w:rsidRPr="004612F5">
        <w:t xml:space="preserve"> a pandemic</w:t>
      </w:r>
      <w:r w:rsidR="00D512DD">
        <w:t>.</w:t>
      </w:r>
      <w:r w:rsidR="004612F5" w:rsidRPr="004612F5">
        <w:t xml:space="preserve"> </w:t>
      </w:r>
      <w:r w:rsidR="00D512DD">
        <w:t>T</w:t>
      </w:r>
      <w:r w:rsidR="004612F5" w:rsidRPr="004612F5">
        <w:t xml:space="preserve">he results </w:t>
      </w:r>
      <w:r w:rsidR="000B582F">
        <w:t>may have been</w:t>
      </w:r>
      <w:r w:rsidR="004612F5" w:rsidRPr="004612F5">
        <w:t xml:space="preserve"> impacted by the student’s experience related to precautions established on campus</w:t>
      </w:r>
      <w:r w:rsidR="004612F5">
        <w:t>.</w:t>
      </w:r>
    </w:p>
    <w:p w14:paraId="54612A22" w14:textId="77777777" w:rsidR="00A74DA0" w:rsidRDefault="00A74DA0" w:rsidP="00A74DA0">
      <w:pPr>
        <w:ind w:firstLine="0"/>
        <w:jc w:val="center"/>
        <w:rPr>
          <w:b/>
          <w:bCs/>
        </w:rPr>
      </w:pPr>
      <w:r>
        <w:rPr>
          <w:b/>
          <w:bCs/>
        </w:rPr>
        <w:t>Implications</w:t>
      </w:r>
    </w:p>
    <w:p w14:paraId="2E9A4414" w14:textId="77777777" w:rsidR="00A74DA0" w:rsidRDefault="00A74DA0" w:rsidP="00A74DA0">
      <w:pPr>
        <w:ind w:firstLine="0"/>
      </w:pPr>
      <w:r>
        <w:rPr>
          <w:b/>
          <w:bCs/>
        </w:rPr>
        <w:t>Systems</w:t>
      </w:r>
    </w:p>
    <w:p w14:paraId="1FD3B393" w14:textId="06B2993F" w:rsidR="004612F5" w:rsidRPr="004612F5" w:rsidRDefault="004612F5" w:rsidP="004612F5">
      <w:r w:rsidRPr="004612F5">
        <w:t>Overall, the mental health system has struggled to keep up with the demands and overcoming the stigma associated with mental health problems</w:t>
      </w:r>
      <w:r>
        <w:t>. T</w:t>
      </w:r>
      <w:r w:rsidRPr="004612F5">
        <w:t xml:space="preserve">his can be seen by the lack of resources on not only college and university campuses but also meeting the needs of the </w:t>
      </w:r>
      <w:r w:rsidR="00A5410C" w:rsidRPr="004612F5">
        <w:t>public</w:t>
      </w:r>
      <w:r>
        <w:t>. T</w:t>
      </w:r>
      <w:r w:rsidRPr="004612F5">
        <w:t>here has been a longstanding stigma associated with those individuals who struggle with anxiety or depression</w:t>
      </w:r>
      <w:r w:rsidR="00A5410C">
        <w:t xml:space="preserve"> which can led individuals to no</w:t>
      </w:r>
      <w:r w:rsidR="0027603A">
        <w:t>t</w:t>
      </w:r>
      <w:r w:rsidR="00A5410C">
        <w:t xml:space="preserve"> seek</w:t>
      </w:r>
      <w:r w:rsidR="0027603A">
        <w:t>ing</w:t>
      </w:r>
      <w:r w:rsidR="00A5410C">
        <w:t xml:space="preserve"> treatment. </w:t>
      </w:r>
    </w:p>
    <w:p w14:paraId="79422EAB" w14:textId="7D8E9A70" w:rsidR="004612F5" w:rsidRDefault="002E55B9" w:rsidP="00B959D5">
      <w:r>
        <w:lastRenderedPageBreak/>
        <w:t xml:space="preserve">Universities and colleges </w:t>
      </w:r>
      <w:r w:rsidR="000B582F">
        <w:t>need</w:t>
      </w:r>
      <w:r>
        <w:t xml:space="preserve"> take a larger role in the development of student</w:t>
      </w:r>
      <w:r w:rsidR="00A5410C">
        <w:t>’s</w:t>
      </w:r>
      <w:r>
        <w:t xml:space="preserve"> mental health (Duffy</w:t>
      </w:r>
      <w:r w:rsidR="008A34FA">
        <w:t xml:space="preserve"> et al., </w:t>
      </w:r>
      <w:r>
        <w:t>2019).</w:t>
      </w:r>
      <w:r w:rsidR="00497838">
        <w:t xml:space="preserve"> Universities </w:t>
      </w:r>
      <w:r w:rsidR="000B582F">
        <w:t>need to</w:t>
      </w:r>
      <w:r w:rsidR="00497838">
        <w:t xml:space="preserve"> address the well-being of their students in the same </w:t>
      </w:r>
      <w:r w:rsidR="000B582F">
        <w:t>way</w:t>
      </w:r>
      <w:r w:rsidR="00497838">
        <w:t xml:space="preserve"> they cultivate academic and professional success (Beiter</w:t>
      </w:r>
      <w:r w:rsidR="008A34FA">
        <w:t xml:space="preserve"> et al., </w:t>
      </w:r>
      <w:r w:rsidR="00497838">
        <w:t xml:space="preserve">2015). </w:t>
      </w:r>
      <w:r w:rsidR="00D512DD">
        <w:t>The systematic and steady monitoring of the mental health of students in u</w:t>
      </w:r>
      <w:r w:rsidR="006030D9">
        <w:t xml:space="preserve">niversities </w:t>
      </w:r>
      <w:r w:rsidR="000B582F">
        <w:t>should</w:t>
      </w:r>
      <w:r w:rsidR="006030D9">
        <w:t xml:space="preserve"> be done with utmost importance (Beiter et al., 2015). </w:t>
      </w:r>
    </w:p>
    <w:p w14:paraId="161867F9" w14:textId="6449A54E" w:rsidR="004612F5" w:rsidRDefault="006946A0" w:rsidP="00B959D5">
      <w:r>
        <w:t>In a past national survey</w:t>
      </w:r>
      <w:r w:rsidR="004B7608">
        <w:t>,</w:t>
      </w:r>
      <w:r>
        <w:t xml:space="preserve"> college counseling centers note</w:t>
      </w:r>
      <w:r w:rsidR="000B582F">
        <w:t>d</w:t>
      </w:r>
      <w:r>
        <w:t xml:space="preserve"> an increase in </w:t>
      </w:r>
      <w:r w:rsidR="00120306">
        <w:t xml:space="preserve">the </w:t>
      </w:r>
      <w:r>
        <w:t xml:space="preserve">number of students with severe psychological concerns </w:t>
      </w:r>
      <w:r w:rsidR="007F172A">
        <w:t>related to increas</w:t>
      </w:r>
      <w:r w:rsidR="0057307F">
        <w:t>ing</w:t>
      </w:r>
      <w:r w:rsidR="007F172A">
        <w:t xml:space="preserve"> stressor</w:t>
      </w:r>
      <w:r w:rsidR="005419EB">
        <w:t>s</w:t>
      </w:r>
      <w:r w:rsidR="007F172A">
        <w:t xml:space="preserve"> and challenges </w:t>
      </w:r>
      <w:r w:rsidR="00A5410C">
        <w:t>with</w:t>
      </w:r>
      <w:r>
        <w:t xml:space="preserve"> services available </w:t>
      </w:r>
      <w:r w:rsidR="000B582F">
        <w:t>being</w:t>
      </w:r>
      <w:r>
        <w:t xml:space="preserve"> inadequate to meet the demand</w:t>
      </w:r>
      <w:r w:rsidR="005419EB">
        <w:t>s</w:t>
      </w:r>
      <w:r>
        <w:t xml:space="preserve"> of students causing a mental health crisis on college campuses (First</w:t>
      </w:r>
      <w:r w:rsidR="008A34FA">
        <w:t xml:space="preserve"> et al., </w:t>
      </w:r>
      <w:r>
        <w:t xml:space="preserve">2018). </w:t>
      </w:r>
      <w:r w:rsidR="004C3390">
        <w:t xml:space="preserve">The function of counseling centers </w:t>
      </w:r>
      <w:r w:rsidR="000B582F">
        <w:t>should be to</w:t>
      </w:r>
      <w:r w:rsidR="004C3390">
        <w:t xml:space="preserve"> provide direct counseling to students whose </w:t>
      </w:r>
      <w:r w:rsidR="00A5410C">
        <w:t>mental health is</w:t>
      </w:r>
      <w:r w:rsidR="004C3390">
        <w:t xml:space="preserve"> directly inte</w:t>
      </w:r>
      <w:r w:rsidR="00B959D5">
        <w:t>rfering</w:t>
      </w:r>
      <w:r w:rsidR="004C3390">
        <w:t xml:space="preserve"> with their ability to be successful in academia (Marsh &amp; Wilcoxon, 2015). </w:t>
      </w:r>
      <w:r w:rsidR="00654E1C">
        <w:t xml:space="preserve">The biggest system barriers </w:t>
      </w:r>
      <w:r w:rsidR="000B582F">
        <w:t xml:space="preserve">to the access of counseling services </w:t>
      </w:r>
      <w:r w:rsidR="00654E1C">
        <w:t xml:space="preserve">are cost, availability, accessibility, and acceptability (Marsh &amp; Wilcoxon, 2015). </w:t>
      </w:r>
      <w:r w:rsidR="00A5410C">
        <w:t>Student</w:t>
      </w:r>
      <w:r w:rsidR="00654E1C">
        <w:t xml:space="preserve"> b</w:t>
      </w:r>
      <w:r w:rsidR="004C3390">
        <w:t xml:space="preserve">arriers related to poor utilization of counseling services include type and severity of psychological distress, privacy concerns, attitudes, fears, and personal beliefs related to receiving mental health counseling or services (Marsh &amp; Wilcoxon, 2015). </w:t>
      </w:r>
    </w:p>
    <w:p w14:paraId="6F32720E" w14:textId="450EAC3D" w:rsidR="00A74DA0" w:rsidRDefault="00176A8E" w:rsidP="00B959D5">
      <w:r>
        <w:t xml:space="preserve">Nursing faculty are prime resources </w:t>
      </w:r>
      <w:r w:rsidR="000B582F">
        <w:t xml:space="preserve">to </w:t>
      </w:r>
      <w:r>
        <w:t xml:space="preserve">help nursing students deal with </w:t>
      </w:r>
      <w:r w:rsidR="003841B8">
        <w:t>anxiety</w:t>
      </w:r>
      <w:r>
        <w:t xml:space="preserve"> and </w:t>
      </w:r>
      <w:r w:rsidR="003841B8">
        <w:t>stress</w:t>
      </w:r>
      <w:r>
        <w:t xml:space="preserve"> with </w:t>
      </w:r>
      <w:r w:rsidR="005419EB">
        <w:t xml:space="preserve">the use of </w:t>
      </w:r>
      <w:r w:rsidR="003841B8">
        <w:t>positive</w:t>
      </w:r>
      <w:r>
        <w:t xml:space="preserve"> coping styles</w:t>
      </w:r>
      <w:r w:rsidR="00D512DD">
        <w:t xml:space="preserve">. There coping styles can </w:t>
      </w:r>
      <w:r w:rsidR="005419EB">
        <w:t>help</w:t>
      </w:r>
      <w:r>
        <w:t xml:space="preserve"> student</w:t>
      </w:r>
      <w:r w:rsidR="003841B8">
        <w:t>s</w:t>
      </w:r>
      <w:r>
        <w:t xml:space="preserve"> </w:t>
      </w:r>
      <w:r w:rsidR="005419EB">
        <w:t>complete</w:t>
      </w:r>
      <w:r>
        <w:t xml:space="preserve"> school </w:t>
      </w:r>
      <w:r w:rsidR="003841B8">
        <w:t xml:space="preserve">and </w:t>
      </w:r>
      <w:r w:rsidR="00D512DD">
        <w:t xml:space="preserve">continues to be utilized </w:t>
      </w:r>
      <w:r>
        <w:t xml:space="preserve">when they enter the workforce (Labrague, McEnroe-Petitte, Gloe, et al, 2017). </w:t>
      </w:r>
      <w:r w:rsidR="00517B35">
        <w:t xml:space="preserve">Faculty </w:t>
      </w:r>
      <w:r w:rsidR="007D3AFA">
        <w:t>should</w:t>
      </w:r>
      <w:r w:rsidR="00517B35">
        <w:t xml:space="preserve"> understand the impact on students learning and academic success b</w:t>
      </w:r>
      <w:r w:rsidR="007D3AFA">
        <w:t>y</w:t>
      </w:r>
      <w:r w:rsidR="00517B35">
        <w:t xml:space="preserve"> aiding and assisting students in developing skills that will impact the rest of their lives and careers. </w:t>
      </w:r>
      <w:r w:rsidR="0044046A">
        <w:t>Although the focus of this study was FYNS</w:t>
      </w:r>
      <w:r w:rsidR="007D3AFA">
        <w:t>,</w:t>
      </w:r>
      <w:r w:rsidR="0044046A">
        <w:t xml:space="preserve"> many colleges </w:t>
      </w:r>
      <w:r w:rsidR="007D3AFA">
        <w:t xml:space="preserve">and universities </w:t>
      </w:r>
      <w:r w:rsidR="0044046A">
        <w:t xml:space="preserve">have </w:t>
      </w:r>
      <w:r w:rsidR="007D3AFA">
        <w:t xml:space="preserve">developed </w:t>
      </w:r>
      <w:r w:rsidR="0044046A">
        <w:t xml:space="preserve">interventions and education to help new students adjust to college life </w:t>
      </w:r>
      <w:r w:rsidR="007D3AFA">
        <w:t xml:space="preserve">but </w:t>
      </w:r>
      <w:r w:rsidR="0044046A">
        <w:t>there a</w:t>
      </w:r>
      <w:r w:rsidR="007D3AFA">
        <w:t>lso</w:t>
      </w:r>
      <w:r w:rsidR="0044046A">
        <w:t xml:space="preserve"> needs to be support for older students a</w:t>
      </w:r>
      <w:r w:rsidR="007D3AFA">
        <w:t>s</w:t>
      </w:r>
      <w:r w:rsidR="0044046A">
        <w:t xml:space="preserve"> they begin the process of transition</w:t>
      </w:r>
      <w:r w:rsidR="007D3AFA">
        <w:t>ing</w:t>
      </w:r>
      <w:r w:rsidR="0044046A">
        <w:t xml:space="preserve"> from college life </w:t>
      </w:r>
      <w:r w:rsidR="0044046A">
        <w:lastRenderedPageBreak/>
        <w:t xml:space="preserve">to the real world. Providing students with </w:t>
      </w:r>
      <w:r w:rsidR="003841B8">
        <w:t xml:space="preserve">positive </w:t>
      </w:r>
      <w:r w:rsidR="0044046A">
        <w:t xml:space="preserve">coping styles to manage these stressors can ease this transition. </w:t>
      </w:r>
    </w:p>
    <w:p w14:paraId="7D4E652A" w14:textId="77777777" w:rsidR="00A74DA0" w:rsidRDefault="00A74DA0" w:rsidP="00A74DA0">
      <w:pPr>
        <w:ind w:firstLine="0"/>
      </w:pPr>
      <w:r>
        <w:rPr>
          <w:b/>
          <w:bCs/>
        </w:rPr>
        <w:t>Policy</w:t>
      </w:r>
    </w:p>
    <w:p w14:paraId="3DFC971B" w14:textId="44174C4C" w:rsidR="004612F5" w:rsidRDefault="00C30031" w:rsidP="004612F5">
      <w:pPr>
        <w:ind w:firstLine="0"/>
      </w:pPr>
      <w:r>
        <w:tab/>
      </w:r>
      <w:r w:rsidR="00D645E4">
        <w:t>Establishing polic</w:t>
      </w:r>
      <w:r w:rsidR="00F930C5">
        <w:t>ies</w:t>
      </w:r>
      <w:r w:rsidR="00D645E4">
        <w:t xml:space="preserve"> within </w:t>
      </w:r>
      <w:r w:rsidR="0044046A">
        <w:t xml:space="preserve">colleges, universities, and individual </w:t>
      </w:r>
      <w:r w:rsidR="007D3AFA">
        <w:t>S</w:t>
      </w:r>
      <w:r w:rsidR="00F930C5">
        <w:t>chools of Nursing</w:t>
      </w:r>
      <w:r w:rsidR="00D645E4">
        <w:t xml:space="preserve"> to screen students throughout their </w:t>
      </w:r>
      <w:r w:rsidR="007D3AFA">
        <w:t>college career</w:t>
      </w:r>
      <w:r w:rsidR="00D645E4">
        <w:t xml:space="preserve"> for changes in mental health and allow</w:t>
      </w:r>
      <w:r w:rsidR="003841B8">
        <w:t>ing</w:t>
      </w:r>
      <w:r w:rsidR="00D645E4">
        <w:t xml:space="preserve"> for early intervention</w:t>
      </w:r>
      <w:r w:rsidR="007D3AFA">
        <w:t>s</w:t>
      </w:r>
      <w:r w:rsidR="00D645E4">
        <w:t xml:space="preserve"> before</w:t>
      </w:r>
      <w:r w:rsidR="00F930C5">
        <w:t xml:space="preserve"> changes</w:t>
      </w:r>
      <w:r w:rsidR="00D645E4">
        <w:t xml:space="preserve"> become pathologic.</w:t>
      </w:r>
      <w:r w:rsidR="00051F0D">
        <w:t xml:space="preserve"> The American College Health Association has </w:t>
      </w:r>
      <w:r w:rsidR="003841B8">
        <w:t>developed</w:t>
      </w:r>
      <w:r w:rsidR="00051F0D">
        <w:t xml:space="preserve"> the National College Health Assessment </w:t>
      </w:r>
      <w:r w:rsidR="007D3AFA">
        <w:t xml:space="preserve">used to </w:t>
      </w:r>
      <w:r w:rsidR="00051F0D">
        <w:t xml:space="preserve">identify the mental health demands of college </w:t>
      </w:r>
      <w:r w:rsidR="007D3AFA">
        <w:t xml:space="preserve">students </w:t>
      </w:r>
      <w:r w:rsidR="00051F0D">
        <w:t>allowing universities and colleges</w:t>
      </w:r>
      <w:r w:rsidR="007D3AFA">
        <w:t xml:space="preserve"> examine and develop programs to </w:t>
      </w:r>
      <w:r w:rsidR="005C4AE5">
        <w:t>prevent and reduc</w:t>
      </w:r>
      <w:r w:rsidR="007D3AFA">
        <w:t>e</w:t>
      </w:r>
      <w:r w:rsidR="005C4AE5">
        <w:t xml:space="preserve"> mental health disorders among </w:t>
      </w:r>
      <w:r w:rsidR="007D3AFA">
        <w:t>college students</w:t>
      </w:r>
      <w:r w:rsidR="005C4AE5">
        <w:t xml:space="preserve"> (Li</w:t>
      </w:r>
      <w:r w:rsidR="008A34FA">
        <w:t xml:space="preserve"> et al., </w:t>
      </w:r>
      <w:r w:rsidR="005C4AE5">
        <w:t xml:space="preserve">2018). </w:t>
      </w:r>
      <w:r w:rsidR="00A70977">
        <w:t xml:space="preserve">Colleges and universities should work together </w:t>
      </w:r>
      <w:r w:rsidR="007D3AFA">
        <w:t>using</w:t>
      </w:r>
      <w:r w:rsidR="00A70977">
        <w:t xml:space="preserve"> data gathered from the health assessment to develop and implement strategies to impede and decrease mental health disorders among college students. </w:t>
      </w:r>
    </w:p>
    <w:p w14:paraId="0CC23D99" w14:textId="36225714" w:rsidR="004612F5" w:rsidRPr="004612F5" w:rsidRDefault="004612F5" w:rsidP="004612F5">
      <w:r w:rsidRPr="004612F5">
        <w:t>Nursing students have a unique</w:t>
      </w:r>
      <w:r w:rsidR="003841B8">
        <w:t xml:space="preserve"> experience by being in </w:t>
      </w:r>
      <w:r w:rsidR="007E0997">
        <w:t>numerous</w:t>
      </w:r>
      <w:r w:rsidR="003841B8">
        <w:t xml:space="preserve"> clinical agencies allowing them to interact with multiple </w:t>
      </w:r>
      <w:r w:rsidR="007E0997">
        <w:t xml:space="preserve">members of the </w:t>
      </w:r>
      <w:r w:rsidR="003841B8">
        <w:t>healthcare team. Clinical</w:t>
      </w:r>
      <w:r w:rsidRPr="004612F5">
        <w:t xml:space="preserve"> agencies </w:t>
      </w:r>
      <w:r w:rsidR="003841B8">
        <w:t>need to invest</w:t>
      </w:r>
      <w:r w:rsidRPr="004612F5">
        <w:t xml:space="preserve"> in the mental health of nursing students coming to their facilities</w:t>
      </w:r>
      <w:r w:rsidR="003841B8">
        <w:t xml:space="preserve"> since they are going to</w:t>
      </w:r>
      <w:r w:rsidRPr="004612F5">
        <w:t xml:space="preserve"> </w:t>
      </w:r>
      <w:r w:rsidR="007E0997">
        <w:t xml:space="preserve">be </w:t>
      </w:r>
      <w:r w:rsidRPr="004612F5">
        <w:t>their future employees</w:t>
      </w:r>
      <w:r w:rsidR="007E0997">
        <w:t>. By</w:t>
      </w:r>
      <w:r w:rsidRPr="004612F5">
        <w:t xml:space="preserve"> help</w:t>
      </w:r>
      <w:r w:rsidR="007E0997">
        <w:t>ing to</w:t>
      </w:r>
      <w:r w:rsidRPr="004612F5">
        <w:t xml:space="preserve"> prepare them for the stressors of healthcare</w:t>
      </w:r>
      <w:r w:rsidR="007E0997">
        <w:t>, it</w:t>
      </w:r>
      <w:r w:rsidRPr="004612F5">
        <w:t xml:space="preserve"> </w:t>
      </w:r>
      <w:r w:rsidR="003841B8">
        <w:t>may</w:t>
      </w:r>
      <w:r w:rsidRPr="004612F5">
        <w:t xml:space="preserve"> decrease the rate of burnout currently </w:t>
      </w:r>
      <w:r w:rsidR="007E0997">
        <w:t>being experience in the nursing profession</w:t>
      </w:r>
      <w:r>
        <w:t xml:space="preserve">. </w:t>
      </w:r>
      <w:r w:rsidR="00287BF0">
        <w:t>N</w:t>
      </w:r>
      <w:r w:rsidRPr="004612F5">
        <w:t>urses who are precepting nursing student</w:t>
      </w:r>
      <w:r w:rsidR="00287BF0">
        <w:t>s</w:t>
      </w:r>
      <w:r w:rsidRPr="004612F5">
        <w:t xml:space="preserve"> </w:t>
      </w:r>
      <w:r w:rsidR="00EC390A">
        <w:t>should</w:t>
      </w:r>
      <w:r w:rsidRPr="004612F5">
        <w:t xml:space="preserve"> understand the important role they have in the development of future nurses</w:t>
      </w:r>
      <w:r>
        <w:t xml:space="preserve">. </w:t>
      </w:r>
      <w:r w:rsidR="00287BF0">
        <w:t>S</w:t>
      </w:r>
      <w:r w:rsidR="00287BF0" w:rsidRPr="004612F5">
        <w:t>tudent nurses observe</w:t>
      </w:r>
      <w:r w:rsidR="00287BF0">
        <w:t xml:space="preserve"> how their preceptor </w:t>
      </w:r>
      <w:r w:rsidR="00287BF0" w:rsidRPr="004612F5">
        <w:t>apprais</w:t>
      </w:r>
      <w:r w:rsidR="00287BF0">
        <w:t>es</w:t>
      </w:r>
      <w:r w:rsidR="00287BF0" w:rsidRPr="004612F5">
        <w:t xml:space="preserve"> </w:t>
      </w:r>
      <w:r w:rsidR="00287BF0">
        <w:t>a stressful situation</w:t>
      </w:r>
      <w:r w:rsidR="00287BF0" w:rsidRPr="004612F5">
        <w:t xml:space="preserve"> and how to </w:t>
      </w:r>
      <w:r w:rsidR="00287BF0">
        <w:t>c</w:t>
      </w:r>
      <w:r w:rsidR="00287BF0" w:rsidRPr="004612F5">
        <w:t>ope with the stress</w:t>
      </w:r>
      <w:r w:rsidR="00287BF0">
        <w:t xml:space="preserve"> as part of their learning experience </w:t>
      </w:r>
      <w:r>
        <w:t>T</w:t>
      </w:r>
      <w:r w:rsidRPr="004612F5">
        <w:t>he</w:t>
      </w:r>
      <w:r w:rsidR="00287BF0">
        <w:t>se</w:t>
      </w:r>
      <w:r w:rsidRPr="004612F5">
        <w:t xml:space="preserve"> interaction</w:t>
      </w:r>
      <w:r w:rsidR="00287BF0">
        <w:t>s</w:t>
      </w:r>
      <w:r w:rsidRPr="004612F5">
        <w:t xml:space="preserve"> and experience</w:t>
      </w:r>
      <w:r w:rsidR="00287BF0">
        <w:t>s</w:t>
      </w:r>
      <w:r w:rsidRPr="004612F5">
        <w:t xml:space="preserve"> nursing students have with nursing staff can affect their overall stress. If this interaction is positive, it </w:t>
      </w:r>
      <w:r w:rsidR="00EC390A">
        <w:t>will</w:t>
      </w:r>
      <w:r w:rsidRPr="004612F5">
        <w:t xml:space="preserve"> decrease student’s stress levels (Cowen, et al., 2016)</w:t>
      </w:r>
      <w:r>
        <w:t>.</w:t>
      </w:r>
      <w:r w:rsidR="00287BF0">
        <w:t xml:space="preserve"> </w:t>
      </w:r>
      <w:r>
        <w:t>S</w:t>
      </w:r>
      <w:r w:rsidRPr="004612F5">
        <w:t xml:space="preserve">ome </w:t>
      </w:r>
      <w:r w:rsidRPr="004612F5">
        <w:lastRenderedPageBreak/>
        <w:t xml:space="preserve">hospitals have started mentor and internship programs to help ease the transition from nursing school to practice. </w:t>
      </w:r>
    </w:p>
    <w:p w14:paraId="7FF47514" w14:textId="66177A55" w:rsidR="005E54FD" w:rsidRDefault="005E54FD" w:rsidP="00A74DA0">
      <w:pPr>
        <w:ind w:firstLine="0"/>
      </w:pPr>
      <w:r>
        <w:tab/>
      </w:r>
      <w:r w:rsidRPr="00C14031">
        <w:t>Studies show a positive relationship between faculty and student</w:t>
      </w:r>
      <w:r w:rsidR="00C14031">
        <w:t>s</w:t>
      </w:r>
      <w:r w:rsidRPr="00C14031">
        <w:t xml:space="preserve"> can reduce the amount of anxiety experienced by students (Sun</w:t>
      </w:r>
      <w:r w:rsidR="008A34FA" w:rsidRPr="00C14031">
        <w:t xml:space="preserve"> et al., </w:t>
      </w:r>
      <w:r w:rsidRPr="00C14031">
        <w:t>2016).</w:t>
      </w:r>
      <w:r>
        <w:t xml:space="preserve"> Faculty </w:t>
      </w:r>
      <w:r w:rsidR="00287BF0">
        <w:t>need to</w:t>
      </w:r>
      <w:r w:rsidR="00F633FC">
        <w:t xml:space="preserve"> focus on moments </w:t>
      </w:r>
      <w:r w:rsidR="00EC390A">
        <w:t>during</w:t>
      </w:r>
      <w:r w:rsidR="00F633FC">
        <w:t xml:space="preserve"> the semester </w:t>
      </w:r>
      <w:r w:rsidR="005419EB">
        <w:t>deemed to</w:t>
      </w:r>
      <w:r w:rsidR="00F633FC">
        <w:t xml:space="preserve"> be more anxiety</w:t>
      </w:r>
      <w:r w:rsidR="00120306">
        <w:t>-</w:t>
      </w:r>
      <w:r w:rsidR="00F633FC">
        <w:t xml:space="preserve">driven </w:t>
      </w:r>
      <w:r w:rsidR="005419EB">
        <w:t>for</w:t>
      </w:r>
      <w:r w:rsidR="00F633FC">
        <w:t xml:space="preserve"> example </w:t>
      </w:r>
      <w:r w:rsidR="005419EB">
        <w:t xml:space="preserve">prepping </w:t>
      </w:r>
      <w:r w:rsidR="00F633FC">
        <w:t xml:space="preserve">before tests, midterms, and finals to help students reduce levels of anxiety thus helping their </w:t>
      </w:r>
      <w:r w:rsidR="00EC390A">
        <w:t xml:space="preserve">academic </w:t>
      </w:r>
      <w:r w:rsidR="00F633FC">
        <w:t xml:space="preserve">performance. </w:t>
      </w:r>
      <w:r w:rsidR="007E0997">
        <w:t>A f</w:t>
      </w:r>
      <w:r w:rsidR="00F633FC">
        <w:t>aculty</w:t>
      </w:r>
      <w:r w:rsidR="00577E6A">
        <w:t xml:space="preserve"> goal need</w:t>
      </w:r>
      <w:r w:rsidR="007E0997">
        <w:t>s</w:t>
      </w:r>
      <w:r w:rsidR="00577E6A">
        <w:t xml:space="preserve"> to be to</w:t>
      </w:r>
      <w:r w:rsidR="00F633FC">
        <w:t xml:space="preserve"> establish a trusting relationship with students </w:t>
      </w:r>
      <w:r w:rsidR="00EC390A">
        <w:t xml:space="preserve">to </w:t>
      </w:r>
      <w:r w:rsidR="00F633FC">
        <w:t>increase</w:t>
      </w:r>
      <w:r w:rsidR="00EC390A">
        <w:t xml:space="preserve"> </w:t>
      </w:r>
      <w:r w:rsidR="00F633FC">
        <w:t>their confidence and decrease their anxiety (Sun</w:t>
      </w:r>
      <w:r w:rsidR="008A34FA">
        <w:t xml:space="preserve"> et al., </w:t>
      </w:r>
      <w:r w:rsidR="00F633FC">
        <w:t xml:space="preserve">2016). </w:t>
      </w:r>
      <w:r w:rsidR="00C14031">
        <w:t xml:space="preserve">Group discussions allow students to discuss concerns and anxiety among their peers and faculty </w:t>
      </w:r>
      <w:r w:rsidR="00EC390A">
        <w:t xml:space="preserve">and determine </w:t>
      </w:r>
      <w:r w:rsidR="00C14031">
        <w:t xml:space="preserve">how to best cope with </w:t>
      </w:r>
      <w:r w:rsidR="00507419">
        <w:t>anxiety</w:t>
      </w:r>
      <w:r w:rsidR="00C14031">
        <w:t xml:space="preserve"> and prepare for future stress. </w:t>
      </w:r>
      <w:r w:rsidR="007B538C">
        <w:t xml:space="preserve">Faculty </w:t>
      </w:r>
      <w:r w:rsidR="00507419">
        <w:t xml:space="preserve">need to </w:t>
      </w:r>
      <w:r w:rsidR="007B538C">
        <w:t xml:space="preserve">mentor students </w:t>
      </w:r>
      <w:r w:rsidR="00EC390A">
        <w:t>teaching</w:t>
      </w:r>
      <w:r w:rsidR="007B538C">
        <w:t xml:space="preserve"> them problem-based coping styles to manage the stress of nursing compared to emotional-based coping. </w:t>
      </w:r>
    </w:p>
    <w:p w14:paraId="6B0DDBDF" w14:textId="77777777" w:rsidR="00A74DA0" w:rsidRDefault="00A74DA0" w:rsidP="00A74DA0">
      <w:pPr>
        <w:ind w:firstLine="0"/>
      </w:pPr>
      <w:r>
        <w:rPr>
          <w:b/>
          <w:bCs/>
        </w:rPr>
        <w:t>Economics</w:t>
      </w:r>
    </w:p>
    <w:p w14:paraId="0DB8F44C" w14:textId="09DBAF45" w:rsidR="00A74DA0" w:rsidRDefault="006513CC" w:rsidP="00A74DA0">
      <w:pPr>
        <w:ind w:firstLine="0"/>
      </w:pPr>
      <w:r>
        <w:tab/>
        <w:t xml:space="preserve">Young adults </w:t>
      </w:r>
      <w:r w:rsidR="00F930C5">
        <w:t xml:space="preserve">report </w:t>
      </w:r>
      <w:r>
        <w:t>high</w:t>
      </w:r>
      <w:r w:rsidR="00507419">
        <w:t>er</w:t>
      </w:r>
      <w:r w:rsidR="000D0672">
        <w:t xml:space="preserve"> levels of stress </w:t>
      </w:r>
      <w:r w:rsidR="0011649C">
        <w:t xml:space="preserve">regarding </w:t>
      </w:r>
      <w:r w:rsidR="000D0672">
        <w:t xml:space="preserve">money </w:t>
      </w:r>
      <w:r w:rsidR="004E0504">
        <w:t xml:space="preserve">related to living expenses, </w:t>
      </w:r>
      <w:r w:rsidR="00BC57E9">
        <w:t>tuition,</w:t>
      </w:r>
      <w:r w:rsidR="004E0504">
        <w:t xml:space="preserve"> academic expenses, overspending or credit card debt, student loan debt, work-school life balance, financial pressures from family, and uncertainty of employment after graduation </w:t>
      </w:r>
      <w:r w:rsidR="000D0672">
        <w:t>(Tran</w:t>
      </w:r>
      <w:r w:rsidR="008A34FA">
        <w:t xml:space="preserve"> et al., </w:t>
      </w:r>
      <w:r w:rsidR="000D0672">
        <w:t>2018).</w:t>
      </w:r>
      <w:r w:rsidR="004E0504">
        <w:t xml:space="preserve"> Financial stress has been linked to mental health issues like anxiety and depression (Tran</w:t>
      </w:r>
      <w:r w:rsidR="008A34FA">
        <w:t xml:space="preserve"> et al., </w:t>
      </w:r>
      <w:r w:rsidR="004E0504">
        <w:t xml:space="preserve">2018). </w:t>
      </w:r>
      <w:r w:rsidR="00497838">
        <w:t xml:space="preserve">There is a correlation </w:t>
      </w:r>
      <w:r w:rsidR="00120306">
        <w:t>between</w:t>
      </w:r>
      <w:r w:rsidR="00497838">
        <w:t xml:space="preserve"> increase financial difficulties and higher rates of mental health problems (Beiter</w:t>
      </w:r>
      <w:r w:rsidR="008A34FA">
        <w:t xml:space="preserve"> et al., </w:t>
      </w:r>
      <w:r w:rsidR="00497838">
        <w:t xml:space="preserve">2015). </w:t>
      </w:r>
    </w:p>
    <w:p w14:paraId="08178652" w14:textId="4EBC8B9C" w:rsidR="0087118B" w:rsidRDefault="0087118B" w:rsidP="00A74DA0">
      <w:pPr>
        <w:ind w:firstLine="0"/>
      </w:pPr>
      <w:r>
        <w:tab/>
      </w:r>
      <w:r w:rsidR="00AF5BA8">
        <w:t xml:space="preserve">The majority of counseling centers function with limited funding </w:t>
      </w:r>
      <w:r w:rsidR="001E5AE7">
        <w:t>hindering</w:t>
      </w:r>
      <w:r w:rsidR="00AF5BA8">
        <w:t xml:space="preserve"> the</w:t>
      </w:r>
      <w:r w:rsidR="00BC57E9">
        <w:t>ir</w:t>
      </w:r>
      <w:r w:rsidR="00AF5BA8">
        <w:t xml:space="preserve"> ability </w:t>
      </w:r>
      <w:r w:rsidR="001E5AE7">
        <w:t>of</w:t>
      </w:r>
      <w:r w:rsidR="00AF5BA8">
        <w:t xml:space="preserve"> campus outreach programs and </w:t>
      </w:r>
      <w:r w:rsidR="001E5AE7">
        <w:t>influencing</w:t>
      </w:r>
      <w:r w:rsidR="00AF5BA8">
        <w:t xml:space="preserve"> decisions related to the utilization of services among afflicted students (March &amp; Wilcoxon, 2015). </w:t>
      </w:r>
      <w:r w:rsidR="00517B35">
        <w:t>In a study done by Marsh &amp; Wilcoxon (2015),</w:t>
      </w:r>
      <w:r w:rsidR="0011649C">
        <w:t xml:space="preserve"> </w:t>
      </w:r>
      <w:r w:rsidR="0027603A">
        <w:t xml:space="preserve">the </w:t>
      </w:r>
      <w:r w:rsidR="00517B35">
        <w:t xml:space="preserve">cost </w:t>
      </w:r>
      <w:r w:rsidR="00507419">
        <w:t xml:space="preserve">of mental health services </w:t>
      </w:r>
      <w:r w:rsidR="00517B35">
        <w:t xml:space="preserve">was shown to the strongest predictor of why college students do not seek mental health services. In this study, even a small fee </w:t>
      </w:r>
      <w:r w:rsidR="00BC57E9">
        <w:t>was</w:t>
      </w:r>
      <w:r w:rsidR="00517B35">
        <w:t xml:space="preserve"> a deterrent due to </w:t>
      </w:r>
      <w:r w:rsidR="00BC57E9">
        <w:lastRenderedPageBreak/>
        <w:t xml:space="preserve">students accessing mental health services </w:t>
      </w:r>
      <w:r w:rsidR="00517B35">
        <w:t xml:space="preserve">(Marsh &amp; Wilcoxon, 2015). </w:t>
      </w:r>
      <w:r w:rsidR="007F172A">
        <w:t>The impact of poor mental health not only affects students but the institution in lost income/tuition and ultimately future employers and society (Turner et al., 2018).</w:t>
      </w:r>
    </w:p>
    <w:p w14:paraId="37C5E2CA" w14:textId="30B343E4" w:rsidR="00D645E4" w:rsidRDefault="00AF5BA8" w:rsidP="00A74DA0">
      <w:pPr>
        <w:ind w:firstLine="0"/>
      </w:pPr>
      <w:r>
        <w:tab/>
      </w:r>
      <w:r w:rsidR="00B12710">
        <w:t xml:space="preserve">Mental health disorders affect the quality and quantity of nurses who </w:t>
      </w:r>
      <w:r w:rsidR="00BC57E9">
        <w:t xml:space="preserve">are </w:t>
      </w:r>
      <w:r w:rsidR="00B12710">
        <w:t>enter</w:t>
      </w:r>
      <w:r w:rsidR="00BC57E9">
        <w:t>ing</w:t>
      </w:r>
      <w:r w:rsidR="00B12710">
        <w:t xml:space="preserve"> the profession</w:t>
      </w:r>
      <w:r w:rsidR="007E0997">
        <w:t>.</w:t>
      </w:r>
      <w:r w:rsidR="00507419">
        <w:t xml:space="preserve"> </w:t>
      </w:r>
      <w:r w:rsidR="007E0997">
        <w:t>A</w:t>
      </w:r>
      <w:r w:rsidR="00B12710">
        <w:t xml:space="preserve">ddressing the mental health of nursing students allows for capable nurses </w:t>
      </w:r>
      <w:r w:rsidR="00BC57E9">
        <w:t>to</w:t>
      </w:r>
      <w:r w:rsidR="00B12710">
        <w:t xml:space="preserve"> enter </w:t>
      </w:r>
      <w:r w:rsidR="0011649C">
        <w:t xml:space="preserve">the </w:t>
      </w:r>
      <w:r w:rsidR="00B12710">
        <w:t xml:space="preserve">healthcare field and improve </w:t>
      </w:r>
      <w:r w:rsidR="00507419">
        <w:t xml:space="preserve">patient </w:t>
      </w:r>
      <w:r w:rsidR="00B12710">
        <w:t xml:space="preserve">standards and outcomes (Li, et al., 2017). This does not </w:t>
      </w:r>
      <w:r w:rsidR="00BC57E9">
        <w:t>just</w:t>
      </w:r>
      <w:r w:rsidR="00B12710">
        <w:t xml:space="preserve"> impact the healthcare system and patients but society in general and the demands placed upon it (Li, et al., 2017).</w:t>
      </w:r>
    </w:p>
    <w:p w14:paraId="0B80CBDF" w14:textId="71A3F26B" w:rsidR="00A74DA0" w:rsidRDefault="00A74DA0" w:rsidP="00A74DA0">
      <w:pPr>
        <w:ind w:firstLine="0"/>
        <w:rPr>
          <w:b/>
          <w:bCs/>
        </w:rPr>
      </w:pPr>
      <w:r>
        <w:rPr>
          <w:b/>
          <w:bCs/>
        </w:rPr>
        <w:t>Practice</w:t>
      </w:r>
    </w:p>
    <w:p w14:paraId="1773418A" w14:textId="48AC9D43" w:rsidR="007F172A" w:rsidRDefault="00EB4898" w:rsidP="004612F5">
      <w:r>
        <w:t>C</w:t>
      </w:r>
      <w:r w:rsidR="002E55B9">
        <w:t xml:space="preserve">urrent mental health services </w:t>
      </w:r>
      <w:r w:rsidR="00C14031">
        <w:t>within</w:t>
      </w:r>
      <w:r w:rsidR="002E55B9">
        <w:t xml:space="preserve"> universities </w:t>
      </w:r>
      <w:r w:rsidR="00C14031">
        <w:t xml:space="preserve">and colleges </w:t>
      </w:r>
      <w:r w:rsidR="00D63118">
        <w:t>impact the</w:t>
      </w:r>
      <w:r>
        <w:t xml:space="preserve"> </w:t>
      </w:r>
      <w:r w:rsidR="002E55B9">
        <w:t>academic</w:t>
      </w:r>
      <w:r>
        <w:t xml:space="preserve"> success</w:t>
      </w:r>
      <w:r w:rsidR="002E55B9">
        <w:t xml:space="preserve"> </w:t>
      </w:r>
      <w:r>
        <w:t>of students</w:t>
      </w:r>
      <w:r w:rsidR="00507419">
        <w:t>.</w:t>
      </w:r>
      <w:r w:rsidR="00D63118">
        <w:t xml:space="preserve"> </w:t>
      </w:r>
      <w:r w:rsidR="00507419">
        <w:t>C</w:t>
      </w:r>
      <w:r w:rsidR="00D63118">
        <w:t>urrent</w:t>
      </w:r>
      <w:r w:rsidR="002E55B9">
        <w:t xml:space="preserve"> </w:t>
      </w:r>
      <w:r w:rsidR="00507419">
        <w:t xml:space="preserve">mental health </w:t>
      </w:r>
      <w:r w:rsidR="002E55B9">
        <w:t>demand</w:t>
      </w:r>
      <w:r>
        <w:t>s</w:t>
      </w:r>
      <w:r w:rsidR="002E55B9">
        <w:t xml:space="preserve"> exceed services available, complex mental health need</w:t>
      </w:r>
      <w:r w:rsidR="00D63118">
        <w:t>s</w:t>
      </w:r>
      <w:r w:rsidR="002E55B9">
        <w:t xml:space="preserve"> </w:t>
      </w:r>
      <w:r w:rsidR="00D63118">
        <w:t>are</w:t>
      </w:r>
      <w:r w:rsidR="002E55B9">
        <w:t xml:space="preserve"> increasing, current resources are fragmented, services available differ between institution</w:t>
      </w:r>
      <w:r w:rsidR="00D63118">
        <w:t>s,</w:t>
      </w:r>
      <w:r w:rsidR="002E55B9">
        <w:t xml:space="preserve"> and are not systematically evaluated (Duffy</w:t>
      </w:r>
      <w:r w:rsidR="008A34FA">
        <w:t xml:space="preserve"> et al., </w:t>
      </w:r>
      <w:r w:rsidR="002E55B9">
        <w:t xml:space="preserve">2019). </w:t>
      </w:r>
      <w:r w:rsidR="00BC57E9">
        <w:t xml:space="preserve">Stress and anxiety are the top two concerns noted by college counseling centers (Tran et al., 2018). </w:t>
      </w:r>
      <w:r>
        <w:t xml:space="preserve">College students are a </w:t>
      </w:r>
      <w:r w:rsidR="00507419">
        <w:t>unique</w:t>
      </w:r>
      <w:r>
        <w:t xml:space="preserve"> population to treat due to their short-term residence and </w:t>
      </w:r>
      <w:r w:rsidR="00200A12">
        <w:t xml:space="preserve">the </w:t>
      </w:r>
      <w:r>
        <w:t>stressors they experience are often short-term</w:t>
      </w:r>
      <w:r w:rsidR="00D63118">
        <w:t xml:space="preserve"> duration</w:t>
      </w:r>
      <w:r>
        <w:t xml:space="preserve">. </w:t>
      </w:r>
      <w:r w:rsidR="009D2EDE">
        <w:t>Community mental health systems are not set up to manage this</w:t>
      </w:r>
      <w:r w:rsidR="00D63118">
        <w:t xml:space="preserve"> transient</w:t>
      </w:r>
      <w:r w:rsidR="009D2EDE">
        <w:t xml:space="preserve"> population and specific stressor</w:t>
      </w:r>
      <w:r w:rsidR="00D63118">
        <w:t>s</w:t>
      </w:r>
      <w:r w:rsidR="009D2EDE">
        <w:t xml:space="preserve"> affect</w:t>
      </w:r>
      <w:r w:rsidR="00D63118">
        <w:t>ing</w:t>
      </w:r>
      <w:r w:rsidR="009D2EDE">
        <w:t xml:space="preserve"> this population. </w:t>
      </w:r>
      <w:r w:rsidR="00EE4837">
        <w:t>One course of action would be to survey student</w:t>
      </w:r>
      <w:r w:rsidR="00D63118">
        <w:t>’s</w:t>
      </w:r>
      <w:r w:rsidR="00EE4837">
        <w:t xml:space="preserve"> psychological health on an incremental basis the same</w:t>
      </w:r>
      <w:r w:rsidR="007E0997">
        <w:t xml:space="preserve"> </w:t>
      </w:r>
      <w:r w:rsidR="00EE4837">
        <w:t xml:space="preserve">as students </w:t>
      </w:r>
      <w:r w:rsidR="00D63118">
        <w:t xml:space="preserve">are surveyed </w:t>
      </w:r>
      <w:r w:rsidR="00EE4837">
        <w:t xml:space="preserve">for teacher performance </w:t>
      </w:r>
      <w:r w:rsidR="00507419">
        <w:t>and/</w:t>
      </w:r>
      <w:r w:rsidR="00EE4837">
        <w:t xml:space="preserve">or drug/alcohol use. </w:t>
      </w:r>
      <w:r w:rsidR="00C45A7F">
        <w:t>Encouraging</w:t>
      </w:r>
      <w:r w:rsidR="00EE4837">
        <w:t xml:space="preserve"> universit</w:t>
      </w:r>
      <w:r>
        <w:t>ies and colleges</w:t>
      </w:r>
      <w:r w:rsidR="00EE4837">
        <w:t xml:space="preserve"> to assess students</w:t>
      </w:r>
      <w:r w:rsidR="00C45A7F">
        <w:t>’ needs</w:t>
      </w:r>
      <w:r w:rsidR="00EE4837">
        <w:t xml:space="preserve"> and </w:t>
      </w:r>
      <w:r w:rsidR="00507419">
        <w:t xml:space="preserve">then </w:t>
      </w:r>
      <w:r w:rsidR="00C45A7F">
        <w:t xml:space="preserve">develop </w:t>
      </w:r>
      <w:r w:rsidR="00EE4837">
        <w:t xml:space="preserve">programs and </w:t>
      </w:r>
      <w:r w:rsidR="00507419">
        <w:t>interventions</w:t>
      </w:r>
      <w:r>
        <w:t xml:space="preserve"> </w:t>
      </w:r>
      <w:r w:rsidR="00C45A7F">
        <w:t xml:space="preserve">to </w:t>
      </w:r>
      <w:r w:rsidR="00507419">
        <w:t xml:space="preserve">positively </w:t>
      </w:r>
      <w:r>
        <w:t>impact the</w:t>
      </w:r>
      <w:r w:rsidR="00507419">
        <w:t>ir</w:t>
      </w:r>
      <w:r>
        <w:t xml:space="preserve"> success</w:t>
      </w:r>
      <w:r w:rsidR="00EE4837">
        <w:t xml:space="preserve">. </w:t>
      </w:r>
      <w:r w:rsidR="00507419">
        <w:t>Also e</w:t>
      </w:r>
      <w:r w:rsidR="008A1ECC">
        <w:t>stablishing a relationship with community mental health resources for those students who exceed college or universit</w:t>
      </w:r>
      <w:r w:rsidR="0011649C">
        <w:t>y</w:t>
      </w:r>
      <w:r w:rsidR="008A1ECC">
        <w:t xml:space="preserve"> resources</w:t>
      </w:r>
      <w:r w:rsidR="00C45A7F">
        <w:t xml:space="preserve"> would allow for better utilization of </w:t>
      </w:r>
      <w:r w:rsidR="00507419">
        <w:t xml:space="preserve">campus </w:t>
      </w:r>
      <w:r w:rsidR="00C45A7F">
        <w:t>services</w:t>
      </w:r>
      <w:r w:rsidR="008A1ECC">
        <w:t xml:space="preserve">. </w:t>
      </w:r>
      <w:r w:rsidR="007F172A">
        <w:t>Integrated care between primary care and mental health teams would</w:t>
      </w:r>
      <w:r>
        <w:t xml:space="preserve"> </w:t>
      </w:r>
      <w:r w:rsidR="007F172A">
        <w:t>allow</w:t>
      </w:r>
      <w:r w:rsidR="00507419">
        <w:t xml:space="preserve"> for better</w:t>
      </w:r>
      <w:r w:rsidR="007F172A">
        <w:t xml:space="preserve"> </w:t>
      </w:r>
      <w:r w:rsidR="007F172A">
        <w:lastRenderedPageBreak/>
        <w:t xml:space="preserve">open communication between care providers enhancing the care </w:t>
      </w:r>
      <w:r>
        <w:t>students</w:t>
      </w:r>
      <w:r w:rsidR="007F172A">
        <w:t xml:space="preserve"> receive (Turner et al., 2018).</w:t>
      </w:r>
    </w:p>
    <w:p w14:paraId="0713C8E4" w14:textId="211A0203" w:rsidR="004612F5" w:rsidRPr="004612F5" w:rsidRDefault="004612F5" w:rsidP="004612F5">
      <w:r w:rsidRPr="004612F5">
        <w:t xml:space="preserve">Nursing faculty </w:t>
      </w:r>
      <w:r w:rsidR="00507419">
        <w:t xml:space="preserve">need to </w:t>
      </w:r>
      <w:r w:rsidR="007B56F4">
        <w:t>be</w:t>
      </w:r>
      <w:r w:rsidRPr="004612F5">
        <w:t xml:space="preserve"> leader</w:t>
      </w:r>
      <w:r w:rsidR="007B56F4">
        <w:t>s</w:t>
      </w:r>
      <w:r w:rsidRPr="004612F5">
        <w:t xml:space="preserve"> </w:t>
      </w:r>
      <w:r w:rsidR="007B56F4">
        <w:t xml:space="preserve">by </w:t>
      </w:r>
      <w:r w:rsidR="00507419">
        <w:t>having</w:t>
      </w:r>
      <w:r w:rsidRPr="004612F5">
        <w:t xml:space="preserve"> conversation</w:t>
      </w:r>
      <w:r w:rsidR="00507419">
        <w:t>s</w:t>
      </w:r>
      <w:r w:rsidRPr="004612F5">
        <w:t xml:space="preserve"> with nursing students earl</w:t>
      </w:r>
      <w:r w:rsidR="007B56F4">
        <w:t>y</w:t>
      </w:r>
      <w:r w:rsidRPr="004612F5">
        <w:t xml:space="preserve"> in their education </w:t>
      </w:r>
      <w:r w:rsidR="007B56F4">
        <w:t xml:space="preserve">regarding </w:t>
      </w:r>
      <w:r w:rsidRPr="004612F5">
        <w:t xml:space="preserve">how to manage </w:t>
      </w:r>
      <w:r w:rsidR="00200A12">
        <w:t xml:space="preserve">the </w:t>
      </w:r>
      <w:r w:rsidR="00507419">
        <w:t xml:space="preserve">anxiety </w:t>
      </w:r>
      <w:r w:rsidRPr="004612F5">
        <w:t>and</w:t>
      </w:r>
      <w:r w:rsidR="00507419">
        <w:t xml:space="preserve"> stress</w:t>
      </w:r>
      <w:r w:rsidRPr="004612F5">
        <w:t xml:space="preserve"> of being in healthcare</w:t>
      </w:r>
      <w:r>
        <w:t>. H</w:t>
      </w:r>
      <w:r w:rsidRPr="004612F5">
        <w:t xml:space="preserve">ealthcare is an ever-changing field and developing </w:t>
      </w:r>
      <w:r w:rsidR="00507419">
        <w:t xml:space="preserve">positive </w:t>
      </w:r>
      <w:r w:rsidRPr="004612F5">
        <w:t xml:space="preserve">coping styles to manage the </w:t>
      </w:r>
      <w:r w:rsidR="00507419">
        <w:t>stressor</w:t>
      </w:r>
      <w:r w:rsidRPr="004612F5">
        <w:t xml:space="preserve"> and </w:t>
      </w:r>
      <w:r w:rsidR="00507419">
        <w:t>changes</w:t>
      </w:r>
      <w:r w:rsidRPr="004612F5">
        <w:t xml:space="preserve"> </w:t>
      </w:r>
      <w:r w:rsidR="00507419">
        <w:t>will</w:t>
      </w:r>
      <w:r w:rsidRPr="004612F5">
        <w:t xml:space="preserve"> decrease burnout</w:t>
      </w:r>
      <w:r>
        <w:t>. F</w:t>
      </w:r>
      <w:r w:rsidRPr="004612F5">
        <w:t xml:space="preserve">aculty </w:t>
      </w:r>
      <w:r w:rsidR="00507419">
        <w:t xml:space="preserve">should </w:t>
      </w:r>
      <w:r w:rsidRPr="004612F5">
        <w:t xml:space="preserve">lead by example and have </w:t>
      </w:r>
      <w:r w:rsidR="0011649C">
        <w:t>open</w:t>
      </w:r>
      <w:r w:rsidRPr="004612F5">
        <w:t xml:space="preserve"> dialogue</w:t>
      </w:r>
      <w:r w:rsidR="009561AF">
        <w:t>s</w:t>
      </w:r>
      <w:r w:rsidRPr="004612F5">
        <w:t xml:space="preserve"> with students about what they will face when caring for patients and the </w:t>
      </w:r>
      <w:r w:rsidR="00507419">
        <w:t>anxiety</w:t>
      </w:r>
      <w:r w:rsidRPr="004612F5">
        <w:t xml:space="preserve"> related to being in healthcare</w:t>
      </w:r>
      <w:r>
        <w:t>.</w:t>
      </w:r>
    </w:p>
    <w:p w14:paraId="066B79CB" w14:textId="295CDD17" w:rsidR="00DB5040" w:rsidRDefault="00DB5040" w:rsidP="00DB5040">
      <w:pPr>
        <w:ind w:firstLine="0"/>
        <w:jc w:val="center"/>
      </w:pPr>
      <w:r w:rsidRPr="00DB5040">
        <w:rPr>
          <w:b/>
          <w:bCs/>
        </w:rPr>
        <w:t>Intervention</w:t>
      </w:r>
      <w:r w:rsidR="004612F5">
        <w:rPr>
          <w:b/>
          <w:bCs/>
        </w:rPr>
        <w:t>s</w:t>
      </w:r>
      <w:r w:rsidRPr="00DB5040">
        <w:rPr>
          <w:b/>
          <w:bCs/>
        </w:rPr>
        <w:t xml:space="preserve"> </w:t>
      </w:r>
    </w:p>
    <w:p w14:paraId="642C0D07" w14:textId="35F5774B" w:rsidR="00DB5040" w:rsidRDefault="00DB5040" w:rsidP="00DB5040">
      <w:pPr>
        <w:ind w:firstLine="0"/>
      </w:pPr>
      <w:r>
        <w:tab/>
        <w:t xml:space="preserve">Defining </w:t>
      </w:r>
      <w:r w:rsidR="00AB3EE1">
        <w:t>a single</w:t>
      </w:r>
      <w:r>
        <w:t xml:space="preserve"> specific intervention </w:t>
      </w:r>
      <w:r w:rsidR="00AB3EE1">
        <w:t>for</w:t>
      </w:r>
      <w:r>
        <w:t xml:space="preserve"> FYNS</w:t>
      </w:r>
      <w:r w:rsidR="00507419">
        <w:t xml:space="preserve"> is</w:t>
      </w:r>
      <w:r>
        <w:t xml:space="preserve"> an impossible task. Schools of Nursing </w:t>
      </w:r>
      <w:r w:rsidR="00CF5947">
        <w:t>need to</w:t>
      </w:r>
      <w:r w:rsidR="007F172A">
        <w:t xml:space="preserve"> </w:t>
      </w:r>
      <w:r>
        <w:t>develop</w:t>
      </w:r>
      <w:r w:rsidR="007F172A">
        <w:t xml:space="preserve"> </w:t>
      </w:r>
      <w:r w:rsidR="0057307F">
        <w:t xml:space="preserve">a </w:t>
      </w:r>
      <w:r w:rsidR="007F172A">
        <w:t>process</w:t>
      </w:r>
      <w:r>
        <w:t xml:space="preserve"> to assess nursing students</w:t>
      </w:r>
      <w:r w:rsidR="007F172A">
        <w:t>’</w:t>
      </w:r>
      <w:r>
        <w:t xml:space="preserve"> entry</w:t>
      </w:r>
      <w:r w:rsidR="00120306">
        <w:t>-</w:t>
      </w:r>
      <w:r>
        <w:t xml:space="preserve">level anxiety and </w:t>
      </w:r>
      <w:r w:rsidR="00507419">
        <w:t xml:space="preserve">their </w:t>
      </w:r>
      <w:r>
        <w:t xml:space="preserve">current coping style. Each class </w:t>
      </w:r>
      <w:r w:rsidR="00AB3EE1">
        <w:t xml:space="preserve">is </w:t>
      </w:r>
      <w:r>
        <w:t xml:space="preserve">slightly different </w:t>
      </w:r>
      <w:r w:rsidR="00AB3EE1">
        <w:t>and</w:t>
      </w:r>
      <w:r>
        <w:t xml:space="preserve"> understanding </w:t>
      </w:r>
      <w:r w:rsidR="00CF5947">
        <w:t>the needs of</w:t>
      </w:r>
      <w:r w:rsidR="00A71514">
        <w:t xml:space="preserve"> each class and </w:t>
      </w:r>
      <w:r w:rsidR="00CF5947">
        <w:t xml:space="preserve">its </w:t>
      </w:r>
      <w:r w:rsidR="00A71514">
        <w:t>individuals allow</w:t>
      </w:r>
      <w:r w:rsidR="00507419">
        <w:t>s</w:t>
      </w:r>
      <w:r w:rsidR="00A71514">
        <w:t xml:space="preserve"> faculty to support and meet the needs of </w:t>
      </w:r>
      <w:r w:rsidR="007E0997">
        <w:t>the group</w:t>
      </w:r>
      <w:r w:rsidR="00A71514">
        <w:t xml:space="preserve">. </w:t>
      </w:r>
      <w:r w:rsidR="00AB3EE1">
        <w:t>T</w:t>
      </w:r>
      <w:r w:rsidR="00A71514">
        <w:t xml:space="preserve">he needs of </w:t>
      </w:r>
      <w:r w:rsidR="00AB3EE1">
        <w:t>each</w:t>
      </w:r>
      <w:r w:rsidR="00A71514">
        <w:t xml:space="preserve"> class will change as they progress through the </w:t>
      </w:r>
      <w:r w:rsidR="00CF5947">
        <w:t xml:space="preserve">nursing </w:t>
      </w:r>
      <w:r w:rsidR="00A71514">
        <w:t xml:space="preserve">program whereas a freshman completing prerequisites, meeting the academic demands, and adjusting to college life is a major source of anxiety </w:t>
      </w:r>
      <w:r w:rsidR="0026486D">
        <w:t xml:space="preserve">compared to </w:t>
      </w:r>
      <w:r w:rsidR="00A71514">
        <w:t xml:space="preserve">graduating seniors who are </w:t>
      </w:r>
      <w:r w:rsidR="00507419">
        <w:t>anxious</w:t>
      </w:r>
      <w:r w:rsidR="00A71514">
        <w:t xml:space="preserve"> about passing NCLEX and finding their first job. </w:t>
      </w:r>
      <w:r w:rsidR="00CF5947">
        <w:t>A</w:t>
      </w:r>
      <w:r w:rsidR="00A71514">
        <w:t>ssessing each class at the beginning and end of each semester allows faculty to evaluate</w:t>
      </w:r>
      <w:r w:rsidR="00AB3EE1">
        <w:t xml:space="preserve"> </w:t>
      </w:r>
      <w:r w:rsidR="00A71514">
        <w:t xml:space="preserve">students’ mental health status </w:t>
      </w:r>
      <w:r w:rsidR="00AB3EE1">
        <w:t>and</w:t>
      </w:r>
      <w:r w:rsidR="00A71514">
        <w:t xml:space="preserve"> </w:t>
      </w:r>
      <w:r w:rsidR="00507419">
        <w:t xml:space="preserve">the </w:t>
      </w:r>
      <w:r w:rsidR="00A71514">
        <w:t>change</w:t>
      </w:r>
      <w:r w:rsidR="00AB3EE1">
        <w:t>s</w:t>
      </w:r>
      <w:r w:rsidR="00A71514">
        <w:t xml:space="preserve"> over the semester and </w:t>
      </w:r>
      <w:r w:rsidR="00507419">
        <w:t xml:space="preserve">allowing faculty to </w:t>
      </w:r>
      <w:r w:rsidR="00A71514">
        <w:t>identify any potential concerns before</w:t>
      </w:r>
      <w:r w:rsidR="0026486D">
        <w:t xml:space="preserve"> </w:t>
      </w:r>
      <w:r w:rsidR="00A71514">
        <w:t>impact</w:t>
      </w:r>
      <w:r w:rsidR="00CF5947">
        <w:t>ing</w:t>
      </w:r>
      <w:r w:rsidR="00A71514">
        <w:t xml:space="preserve"> the students’ ability to be successful in the nursing program. </w:t>
      </w:r>
    </w:p>
    <w:p w14:paraId="6F1FF429" w14:textId="1CA4805A" w:rsidR="00006AB6" w:rsidRDefault="00006AB6" w:rsidP="00DB5040">
      <w:pPr>
        <w:ind w:firstLine="0"/>
      </w:pPr>
      <w:r>
        <w:tab/>
        <w:t xml:space="preserve">There are specific scales used to assess </w:t>
      </w:r>
      <w:r w:rsidR="005C49A3">
        <w:t xml:space="preserve">nursing educational stress and specific coping styles. Nursing Education Stress Scale (NESS) uses </w:t>
      </w:r>
      <w:r w:rsidR="007E0997">
        <w:t>two</w:t>
      </w:r>
      <w:r w:rsidR="005C49A3">
        <w:t xml:space="preserve"> different subscale</w:t>
      </w:r>
      <w:r w:rsidR="00120306">
        <w:t>s</w:t>
      </w:r>
      <w:r w:rsidR="005C49A3">
        <w:t xml:space="preserve"> </w:t>
      </w:r>
      <w:r w:rsidR="00507419">
        <w:t xml:space="preserve">to </w:t>
      </w:r>
      <w:r w:rsidR="005C49A3">
        <w:t>identify clinical stress and academic stress with a higher score indicating increas</w:t>
      </w:r>
      <w:r w:rsidR="00507419">
        <w:t>e</w:t>
      </w:r>
      <w:r w:rsidR="005C49A3">
        <w:t xml:space="preserve"> levels of stress. Coping </w:t>
      </w:r>
      <w:r w:rsidR="005C49A3">
        <w:lastRenderedPageBreak/>
        <w:t xml:space="preserve">Behavior Inventory (CBI) has </w:t>
      </w:r>
      <w:r w:rsidR="007E0997">
        <w:t>four</w:t>
      </w:r>
      <w:r w:rsidR="005C49A3">
        <w:t xml:space="preserve"> subscales identifying which coping style is being used by nursing student</w:t>
      </w:r>
      <w:r w:rsidR="00200A12">
        <w:t>s</w:t>
      </w:r>
      <w:r w:rsidR="005C49A3">
        <w:t xml:space="preserve"> including</w:t>
      </w:r>
      <w:r w:rsidR="00120306">
        <w:t xml:space="preserve"> </w:t>
      </w:r>
      <w:r w:rsidR="005C49A3">
        <w:t xml:space="preserve">optimistic behavior, transference behavior, problem-solving behavior, and avoidance with a higher score on a particular subscale indicating the use of a specific coping style. Both </w:t>
      </w:r>
      <w:r w:rsidR="007E0997">
        <w:t>assessment tools</w:t>
      </w:r>
      <w:r w:rsidR="005C49A3">
        <w:t xml:space="preserve"> use a Likert-scale for students. </w:t>
      </w:r>
    </w:p>
    <w:p w14:paraId="56C96205" w14:textId="0B717B52" w:rsidR="003179E6" w:rsidRPr="00091EC8" w:rsidRDefault="004612F5" w:rsidP="00DB5040">
      <w:pPr>
        <w:ind w:firstLine="0"/>
        <w:rPr>
          <w:b/>
          <w:bCs/>
        </w:rPr>
      </w:pPr>
      <w:r>
        <w:rPr>
          <w:b/>
          <w:bCs/>
        </w:rPr>
        <w:t>Coping Styles</w:t>
      </w:r>
    </w:p>
    <w:p w14:paraId="5B06A45D" w14:textId="1C9BBE90" w:rsidR="00CF5947" w:rsidRPr="004612F5" w:rsidRDefault="007E0997" w:rsidP="00361F55">
      <w:r>
        <w:t>Educating</w:t>
      </w:r>
      <w:r w:rsidR="004612F5" w:rsidRPr="004612F5">
        <w:t xml:space="preserve"> students </w:t>
      </w:r>
      <w:r>
        <w:t xml:space="preserve">on </w:t>
      </w:r>
      <w:r w:rsidR="004612F5" w:rsidRPr="004612F5">
        <w:t xml:space="preserve">the differences between each coping </w:t>
      </w:r>
      <w:r>
        <w:t>technique</w:t>
      </w:r>
      <w:r w:rsidR="004612F5" w:rsidRPr="004612F5">
        <w:t xml:space="preserve"> allows</w:t>
      </w:r>
      <w:r>
        <w:t xml:space="preserve"> for appropriate use of coping styles </w:t>
      </w:r>
      <w:proofErr w:type="gramStart"/>
      <w:r w:rsidR="00C766D6">
        <w:t>in regard to</w:t>
      </w:r>
      <w:proofErr w:type="gramEnd"/>
      <w:r>
        <w:t xml:space="preserve"> anxiety and stressors</w:t>
      </w:r>
      <w:r w:rsidR="004612F5">
        <w:t xml:space="preserve">. Nursing students who engage in positive coping styles experience lower levels of anxiety and </w:t>
      </w:r>
      <w:r w:rsidR="00AB3EE1">
        <w:t>have</w:t>
      </w:r>
      <w:r w:rsidR="004612F5">
        <w:t xml:space="preserve"> higher levels of self-esteem (Savitsky et al., 2020). This includes behaviors such as setting objectives, using multiple strategies and experience to solve the problem (Bhurtun et al., 2019). </w:t>
      </w:r>
      <w:r w:rsidR="00AB3EE1">
        <w:t>Positive</w:t>
      </w:r>
      <w:r w:rsidR="004612F5">
        <w:t xml:space="preserve"> coping style</w:t>
      </w:r>
      <w:r w:rsidR="00AB3EE1">
        <w:t>s</w:t>
      </w:r>
      <w:r w:rsidR="004612F5">
        <w:t xml:space="preserve"> allow</w:t>
      </w:r>
      <w:r w:rsidR="00200A12">
        <w:t xml:space="preserve"> </w:t>
      </w:r>
      <w:r w:rsidR="004612F5">
        <w:t>student</w:t>
      </w:r>
      <w:r w:rsidR="00AB3EE1">
        <w:t>s</w:t>
      </w:r>
      <w:r w:rsidR="004612F5">
        <w:t xml:space="preserve"> to manage the problem head-on and not delay the resolution of the problem. </w:t>
      </w:r>
      <w:r w:rsidR="00774044">
        <w:t xml:space="preserve">Nursing students who use emotional-based coping </w:t>
      </w:r>
      <w:r w:rsidR="00AB3EE1">
        <w:t>which</w:t>
      </w:r>
      <w:r w:rsidR="00774044">
        <w:t xml:space="preserve"> </w:t>
      </w:r>
      <w:r>
        <w:t>includes</w:t>
      </w:r>
      <w:r w:rsidR="00774044">
        <w:t xml:space="preserve"> avoidance, transference, and seek diversions do not solve the problem but delay addressing the stress instead of handling it head</w:t>
      </w:r>
      <w:r w:rsidR="00B11B02">
        <w:t>-</w:t>
      </w:r>
      <w:r w:rsidR="00774044">
        <w:t xml:space="preserve">on (Bhurtun et al., 2019). </w:t>
      </w:r>
      <w:r w:rsidR="00AB3EE1">
        <w:t>S</w:t>
      </w:r>
      <w:r w:rsidR="00B11B02">
        <w:t>tudents who seek</w:t>
      </w:r>
      <w:r w:rsidR="00AB3EE1">
        <w:t xml:space="preserve"> </w:t>
      </w:r>
      <w:r w:rsidR="00B11B02">
        <w:t xml:space="preserve">social support were found to have </w:t>
      </w:r>
      <w:r w:rsidR="0011649C">
        <w:t xml:space="preserve">a </w:t>
      </w:r>
      <w:r w:rsidR="00B11B02">
        <w:t xml:space="preserve">low risk for mental health concerns (Karaca et al., 2019). </w:t>
      </w:r>
      <w:r w:rsidR="00507419">
        <w:t>S</w:t>
      </w:r>
      <w:r w:rsidR="00B11B02">
        <w:t xml:space="preserve">ocial support </w:t>
      </w:r>
      <w:r w:rsidR="00507419">
        <w:t>is typically</w:t>
      </w:r>
      <w:r w:rsidR="00B11B02">
        <w:t xml:space="preserve"> from family, spouses, and partners allowing students to share their stress with others </w:t>
      </w:r>
      <w:r w:rsidR="008D3EBA">
        <w:t xml:space="preserve">making it more tolerable and helping their mental health (Karaca et al., 2019). </w:t>
      </w:r>
      <w:r w:rsidR="007C71E3">
        <w:t>Developing mentor</w:t>
      </w:r>
      <w:r w:rsidR="00AB3EE1">
        <w:t>ing</w:t>
      </w:r>
      <w:r w:rsidR="007C71E3">
        <w:t xml:space="preserve"> programs between younger and older nursing students encourage</w:t>
      </w:r>
      <w:r w:rsidR="00AB3EE1">
        <w:t>s</w:t>
      </w:r>
      <w:r w:rsidR="007C71E3">
        <w:t xml:space="preserve"> social coping. This interaction allow</w:t>
      </w:r>
      <w:r w:rsidR="00AB3EE1">
        <w:t>s</w:t>
      </w:r>
      <w:r w:rsidR="007C71E3">
        <w:t xml:space="preserve"> younger nursing students to talk with upperclassmen about their </w:t>
      </w:r>
      <w:r w:rsidR="00507419">
        <w:t xml:space="preserve">anxiety and </w:t>
      </w:r>
      <w:r w:rsidR="007C71E3">
        <w:t>concerns</w:t>
      </w:r>
      <w:r w:rsidR="00507419">
        <w:t xml:space="preserve"> </w:t>
      </w:r>
      <w:r w:rsidR="007C71E3">
        <w:t>gain</w:t>
      </w:r>
      <w:r w:rsidR="00507419">
        <w:t>ing</w:t>
      </w:r>
      <w:r w:rsidR="007C71E3">
        <w:t xml:space="preserve"> a better understanding of the expectations of the situation </w:t>
      </w:r>
    </w:p>
    <w:p w14:paraId="5DB5C40D" w14:textId="50F730B8" w:rsidR="003179E6" w:rsidRPr="00CF5947" w:rsidRDefault="00CF5947" w:rsidP="00DB5040">
      <w:pPr>
        <w:ind w:firstLine="0"/>
        <w:rPr>
          <w:b/>
          <w:bCs/>
        </w:rPr>
      </w:pPr>
      <w:r w:rsidRPr="00CF5947">
        <w:rPr>
          <w:b/>
          <w:bCs/>
        </w:rPr>
        <w:t>Other Strategies</w:t>
      </w:r>
      <w:r w:rsidRPr="00CF5947">
        <w:rPr>
          <w:b/>
          <w:bCs/>
        </w:rPr>
        <w:tab/>
      </w:r>
    </w:p>
    <w:p w14:paraId="19E2DAF5" w14:textId="4709698D" w:rsidR="00F633FC" w:rsidRDefault="00611BB3" w:rsidP="00DB5040">
      <w:pPr>
        <w:ind w:firstLine="0"/>
      </w:pPr>
      <w:r>
        <w:tab/>
      </w:r>
      <w:r w:rsidR="00DA559A">
        <w:t>There are o</w:t>
      </w:r>
      <w:r w:rsidR="00CF5947">
        <w:t xml:space="preserve">ther </w:t>
      </w:r>
      <w:r w:rsidR="0052744C">
        <w:t xml:space="preserve">non-coping </w:t>
      </w:r>
      <w:r w:rsidR="00CF5947">
        <w:t>s</w:t>
      </w:r>
      <w:r>
        <w:t xml:space="preserve">trategies shown to help decrease student’s anxiety </w:t>
      </w:r>
      <w:r w:rsidR="00DA559A">
        <w:t>including</w:t>
      </w:r>
      <w:r>
        <w:t xml:space="preserve"> humor, peer instructors/mentors, </w:t>
      </w:r>
      <w:r w:rsidR="003E07D2">
        <w:t xml:space="preserve">structured learning, self-reflection, </w:t>
      </w:r>
      <w:r>
        <w:t>and mindful learning (Sun</w:t>
      </w:r>
      <w:r w:rsidR="008A34FA">
        <w:t xml:space="preserve"> et </w:t>
      </w:r>
      <w:r w:rsidR="008A34FA">
        <w:lastRenderedPageBreak/>
        <w:t xml:space="preserve">al., </w:t>
      </w:r>
      <w:r>
        <w:t xml:space="preserve">2016). </w:t>
      </w:r>
      <w:r w:rsidR="003E07D2">
        <w:t xml:space="preserve">Humor </w:t>
      </w:r>
      <w:r w:rsidR="0052744C">
        <w:t>is</w:t>
      </w:r>
      <w:r w:rsidR="003E07D2">
        <w:t xml:space="preserve"> used to make learning fun and help cultivate relationships with other students and faculty. </w:t>
      </w:r>
      <w:r w:rsidR="0057307F">
        <w:t>A</w:t>
      </w:r>
      <w:r w:rsidR="0026486D">
        <w:t xml:space="preserve"> study by Savitsky et al. (2020), showed </w:t>
      </w:r>
      <w:r w:rsidR="00091EC8">
        <w:t xml:space="preserve">severe anxiety was able to be lower by almost two times when humor was used. </w:t>
      </w:r>
      <w:r w:rsidR="003E07D2">
        <w:t xml:space="preserve">Peer instruction and mentors allow students </w:t>
      </w:r>
      <w:r w:rsidR="00120306">
        <w:t xml:space="preserve">to </w:t>
      </w:r>
      <w:r w:rsidR="003E07D2">
        <w:t>advance their knowledge or skills while helping others i</w:t>
      </w:r>
      <w:r w:rsidR="007C71E3">
        <w:t xml:space="preserve">ncrease </w:t>
      </w:r>
      <w:r w:rsidR="003E07D2">
        <w:t>their comfort level. Structured learning allows students to become comfortable with</w:t>
      </w:r>
      <w:r w:rsidR="00120306">
        <w:t xml:space="preserve"> the</w:t>
      </w:r>
      <w:r w:rsidR="003E07D2">
        <w:t xml:space="preserve"> skills they are learning and increase their level of confidence. </w:t>
      </w:r>
      <w:r w:rsidR="009929C6">
        <w:t xml:space="preserve">Decreasing changes in </w:t>
      </w:r>
      <w:r w:rsidR="0057307F">
        <w:t xml:space="preserve">the </w:t>
      </w:r>
      <w:r w:rsidR="009929C6">
        <w:t>teaching schedule, keeping students updated on changes</w:t>
      </w:r>
      <w:r w:rsidR="0057307F">
        <w:t>,</w:t>
      </w:r>
      <w:r w:rsidR="009929C6">
        <w:t xml:space="preserve"> and supplying information promptly help in establishing stable structured learning. </w:t>
      </w:r>
      <w:r w:rsidR="003E07D2">
        <w:t>Self-reflection allows student</w:t>
      </w:r>
      <w:r w:rsidR="00CF5947">
        <w:t>s</w:t>
      </w:r>
      <w:r w:rsidR="003E07D2">
        <w:t xml:space="preserve"> to reflect on their</w:t>
      </w:r>
      <w:r w:rsidR="009873A6">
        <w:t xml:space="preserve"> experiences</w:t>
      </w:r>
      <w:r w:rsidR="003E07D2">
        <w:t xml:space="preserve"> and attain self-awareness to better prepare them for future experiences.</w:t>
      </w:r>
      <w:r w:rsidR="00F633FC">
        <w:t xml:space="preserve"> </w:t>
      </w:r>
      <w:r w:rsidR="009873A6">
        <w:t>P</w:t>
      </w:r>
      <w:r w:rsidR="00F633FC">
        <w:t xml:space="preserve">roviding students with a trusted place to express their emotions and share concerns through reflection allows </w:t>
      </w:r>
      <w:r w:rsidR="0057307F">
        <w:t xml:space="preserve">a </w:t>
      </w:r>
      <w:r w:rsidR="00F633FC">
        <w:t>better understand</w:t>
      </w:r>
      <w:r w:rsidR="00865295">
        <w:t>ing of</w:t>
      </w:r>
      <w:r w:rsidR="00F633FC">
        <w:t xml:space="preserve"> their anxiety and </w:t>
      </w:r>
      <w:r w:rsidR="0052744C">
        <w:t xml:space="preserve">increase their </w:t>
      </w:r>
      <w:r w:rsidR="00F633FC">
        <w:t xml:space="preserve">awareness </w:t>
      </w:r>
      <w:r w:rsidR="0052744C">
        <w:t>and</w:t>
      </w:r>
      <w:r w:rsidR="00F633FC">
        <w:t xml:space="preserve"> </w:t>
      </w:r>
      <w:r w:rsidR="00006AB6">
        <w:t>capacity</w:t>
      </w:r>
      <w:r w:rsidR="00B4767D">
        <w:t xml:space="preserve"> to manage anxiety. </w:t>
      </w:r>
      <w:r w:rsidR="003E07D2">
        <w:t>Mindful learning encourages student</w:t>
      </w:r>
      <w:r w:rsidR="00BA74CB">
        <w:t>s</w:t>
      </w:r>
      <w:r w:rsidR="003E07D2">
        <w:t xml:space="preserve"> to focus on the current situation and how best to manage</w:t>
      </w:r>
      <w:r w:rsidR="00200A12">
        <w:t xml:space="preserve"> </w:t>
      </w:r>
      <w:r w:rsidR="003E07D2">
        <w:t>(Su</w:t>
      </w:r>
      <w:r w:rsidR="008A34FA">
        <w:t xml:space="preserve">n et al., </w:t>
      </w:r>
      <w:r w:rsidR="003E07D2">
        <w:t xml:space="preserve">2016). </w:t>
      </w:r>
    </w:p>
    <w:p w14:paraId="4CAEFFDF" w14:textId="5684B1F3" w:rsidR="004612F5" w:rsidRDefault="004612F5" w:rsidP="004612F5">
      <w:pPr>
        <w:ind w:firstLine="0"/>
        <w:jc w:val="center"/>
      </w:pPr>
      <w:r>
        <w:rPr>
          <w:b/>
          <w:bCs/>
        </w:rPr>
        <w:t>Conclusion</w:t>
      </w:r>
    </w:p>
    <w:p w14:paraId="752E25C2" w14:textId="1DEA68B1" w:rsidR="00DB5040" w:rsidRPr="002E55B9" w:rsidRDefault="003538CD" w:rsidP="00C766D6">
      <w:r>
        <w:t xml:space="preserve">Anxiety can be decreased with positive coping styles. Teaching students </w:t>
      </w:r>
      <w:r w:rsidR="0052744C">
        <w:t xml:space="preserve">positive </w:t>
      </w:r>
      <w:r>
        <w:t xml:space="preserve">coping </w:t>
      </w:r>
      <w:r w:rsidR="007E0997">
        <w:t>techniques</w:t>
      </w:r>
      <w:r>
        <w:t xml:space="preserve"> to manage the anxiety and stress of school is not only important to the mental health of the student but their academic success. </w:t>
      </w:r>
      <w:r w:rsidR="0052744C">
        <w:t xml:space="preserve">Colleges and universities need to take an active role in the mental health of their students through surveys, interventions, and support </w:t>
      </w:r>
      <w:r w:rsidR="007E0997">
        <w:t xml:space="preserve">systems </w:t>
      </w:r>
      <w:r w:rsidR="0052744C">
        <w:t xml:space="preserve">offered to their students through their entire college </w:t>
      </w:r>
      <w:r w:rsidR="007E0997">
        <w:t>experience</w:t>
      </w:r>
      <w:r w:rsidR="0052744C">
        <w:t xml:space="preserve">. </w:t>
      </w:r>
      <w:r>
        <w:t xml:space="preserve">The role of faculty is to teach students how to appraise situations and develop positive coping when they are students. </w:t>
      </w:r>
      <w:r w:rsidR="004612F5" w:rsidRPr="004612F5">
        <w:t xml:space="preserve">Overall students who participated in this study felt they would be successful in the nursing program. The goal of this research </w:t>
      </w:r>
      <w:r>
        <w:t>is to understand the anxiety experienced by</w:t>
      </w:r>
      <w:r w:rsidR="004612F5" w:rsidRPr="004612F5">
        <w:t xml:space="preserve"> </w:t>
      </w:r>
      <w:r>
        <w:t>FYNS</w:t>
      </w:r>
      <w:r w:rsidR="004612F5" w:rsidRPr="004612F5">
        <w:t xml:space="preserve"> and </w:t>
      </w:r>
      <w:r>
        <w:t xml:space="preserve">tailor interventions to </w:t>
      </w:r>
      <w:r w:rsidR="004612F5" w:rsidRPr="004612F5">
        <w:t>help students learn and understand how specific coping styles can help them manage anxiety.</w:t>
      </w:r>
      <w:r w:rsidR="004612F5">
        <w:t xml:space="preserve"> </w:t>
      </w:r>
      <w:r w:rsidR="004612F5" w:rsidRPr="004612F5">
        <w:t xml:space="preserve">The future direction of this research is to publish within </w:t>
      </w:r>
      <w:r w:rsidR="00BB75B7">
        <w:t xml:space="preserve">Nursing Educational Perspectives. </w:t>
      </w:r>
    </w:p>
    <w:sdt>
      <w:sdtPr>
        <w:rPr>
          <w:rFonts w:asciiTheme="minorHAnsi" w:eastAsiaTheme="minorEastAsia" w:hAnsiTheme="minorHAnsi" w:cstheme="minorBidi"/>
        </w:rPr>
        <w:id w:val="62297111"/>
        <w:docPartObj>
          <w:docPartGallery w:val="Bibliographies"/>
          <w:docPartUnique/>
        </w:docPartObj>
      </w:sdtPr>
      <w:sdtEndPr/>
      <w:sdtContent>
        <w:p w14:paraId="6719EFB1" w14:textId="77777777" w:rsidR="00E81978" w:rsidRDefault="005D3A03">
          <w:pPr>
            <w:pStyle w:val="SectionTitle"/>
          </w:pPr>
          <w:r>
            <w:t>References</w:t>
          </w:r>
        </w:p>
        <w:p w14:paraId="55627D83" w14:textId="4DEF6A47" w:rsidR="00BF1E70" w:rsidRPr="00BF1E70" w:rsidRDefault="00BF1E70" w:rsidP="00C30031">
          <w:pPr>
            <w:pStyle w:val="Bibliography"/>
          </w:pPr>
          <w:r>
            <w:t xml:space="preserve">Al-Ghareeb, A., McKenna, L., &amp; Cooper, S. (2019). The influence of anxiety on student nurse performance in a simulated clinical setting: a mixed methods design. </w:t>
          </w:r>
          <w:r>
            <w:rPr>
              <w:i/>
              <w:iCs/>
            </w:rPr>
            <w:t>International Journal of Nursing Studies</w:t>
          </w:r>
          <w:r>
            <w:t>. 98. 57-66. https://doi.org/10.1016/j.ijnurstu.2019.06006</w:t>
          </w:r>
        </w:p>
        <w:p w14:paraId="149851E9" w14:textId="310FFD43" w:rsidR="00497838" w:rsidRDefault="00497838" w:rsidP="00C30031">
          <w:pPr>
            <w:pStyle w:val="Bibliography"/>
          </w:pPr>
          <w:r>
            <w:t xml:space="preserve">Beiter, R., Nash, R., McCrady, M., Rhoades, D., Linscomb, M., Clarahan, M., &amp; Sammut, S. (2015). The prevalence and correlates of depression, anxiety, and stress in a sample of college students. </w:t>
          </w:r>
          <w:r>
            <w:rPr>
              <w:i/>
              <w:iCs/>
            </w:rPr>
            <w:t>Journal of Affective Disorders</w:t>
          </w:r>
          <w:r>
            <w:t xml:space="preserve">. 173. 90-96. </w:t>
          </w:r>
          <w:hyperlink r:id="rId9" w:history="1">
            <w:r w:rsidR="00543A41" w:rsidRPr="00DF312A">
              <w:rPr>
                <w:rStyle w:val="Hyperlink"/>
              </w:rPr>
              <w:t>http://dx.doi.org/10/1016/j.jad.2014.10.054</w:t>
            </w:r>
          </w:hyperlink>
        </w:p>
        <w:p w14:paraId="5148B5FB" w14:textId="49A92417" w:rsidR="00C100F9" w:rsidRDefault="00F31585" w:rsidP="00C100F9">
          <w:pPr>
            <w:ind w:firstLine="0"/>
          </w:pPr>
          <w:r>
            <w:t>Bhurtun</w:t>
          </w:r>
          <w:r w:rsidR="00C100F9">
            <w:t>, H.D., Azimirad, M., Saaranen, T., &amp; Turunen, H. (2019). Stress and coping among</w:t>
          </w:r>
        </w:p>
        <w:p w14:paraId="6E6FB4A8" w14:textId="57714FD2" w:rsidR="00C100F9" w:rsidRPr="00C100F9" w:rsidRDefault="00C100F9" w:rsidP="00C100F9">
          <w:pPr>
            <w:ind w:left="720" w:firstLine="0"/>
          </w:pPr>
          <w:r>
            <w:t xml:space="preserve">nursing students during clinical training: an integrative review. </w:t>
          </w:r>
          <w:r>
            <w:rPr>
              <w:i/>
              <w:iCs/>
            </w:rPr>
            <w:t>Journal of Nursing Education</w:t>
          </w:r>
          <w:r>
            <w:t>. 58(5). 266-272. Doi: https://dx.doi.org/10.3928/01484834-20190422-04</w:t>
          </w:r>
        </w:p>
        <w:p w14:paraId="4C1EFC50" w14:textId="77777777" w:rsidR="006A3DAF" w:rsidRDefault="006A3DAF" w:rsidP="006A3DAF">
          <w:pPr>
            <w:ind w:firstLine="0"/>
          </w:pPr>
          <w:r>
            <w:t>Center for Collegiate Mental Health. (2019). 2018 annual report of the Center for Collegiate</w:t>
          </w:r>
        </w:p>
        <w:p w14:paraId="6B9B9E90" w14:textId="25415BF3" w:rsidR="006A3DAF" w:rsidRPr="006A3DAF" w:rsidRDefault="006A3DAF" w:rsidP="006A3DAF">
          <w:pPr>
            <w:ind w:left="720" w:firstLine="0"/>
          </w:pPr>
          <w:r>
            <w:t xml:space="preserve">Mental Health. Retrieved from: </w:t>
          </w:r>
          <w:hyperlink r:id="rId10" w:history="1">
            <w:r w:rsidRPr="00876970">
              <w:rPr>
                <w:rStyle w:val="Hyperlink"/>
              </w:rPr>
              <w:t>https://ccmh.psu.edu/files/2019/09/2018-Annual-Report-9.27.19-FINAL.pdf</w:t>
            </w:r>
          </w:hyperlink>
        </w:p>
        <w:p w14:paraId="1D1FC8F1" w14:textId="77777777" w:rsidR="00543A41" w:rsidRDefault="00543A41" w:rsidP="00543A41">
          <w:pPr>
            <w:ind w:firstLine="0"/>
          </w:pPr>
          <w:r>
            <w:t>Coles, M.E., Coleman, S.L., &amp; Schubert, J. (2015). College students’ recommendations for</w:t>
          </w:r>
        </w:p>
        <w:p w14:paraId="4464D22E" w14:textId="74D4DD79" w:rsidR="00543A41" w:rsidRDefault="00543A41" w:rsidP="00543A41">
          <w:pPr>
            <w:ind w:left="720" w:firstLine="0"/>
          </w:pPr>
          <w:r>
            <w:t xml:space="preserve">dealing with anxiety disorders. </w:t>
          </w:r>
          <w:r>
            <w:rPr>
              <w:i/>
              <w:iCs/>
            </w:rPr>
            <w:t>International Journal of Mental Health Promotion</w:t>
          </w:r>
          <w:r>
            <w:t xml:space="preserve">. 17(2). 68-77. </w:t>
          </w:r>
          <w:hyperlink r:id="rId11" w:history="1">
            <w:r w:rsidR="00A648B0" w:rsidRPr="00C13EBE">
              <w:rPr>
                <w:rStyle w:val="Hyperlink"/>
              </w:rPr>
              <w:t>http://dx.doi.org/10.1080/14623730.2015.1005969</w:t>
            </w:r>
          </w:hyperlink>
        </w:p>
        <w:p w14:paraId="34BFAD8F" w14:textId="77777777" w:rsidR="00A648B0" w:rsidRDefault="00A648B0" w:rsidP="00A648B0">
          <w:pPr>
            <w:ind w:firstLine="0"/>
          </w:pPr>
          <w:r>
            <w:t>Coiro, M.J., Bettis, A.H., &amp; Compas, B.E. (2017). College students coping with interpersonal</w:t>
          </w:r>
        </w:p>
        <w:p w14:paraId="290382E4" w14:textId="67CBCE15" w:rsidR="00A648B0" w:rsidRDefault="00A648B0" w:rsidP="00A648B0">
          <w:pPr>
            <w:ind w:left="720" w:firstLine="0"/>
            <w:rPr>
              <w:kern w:val="0"/>
            </w:rPr>
          </w:pPr>
          <w:r>
            <w:t xml:space="preserve">stress: examining a control-based model of coping. </w:t>
          </w:r>
          <w:r>
            <w:rPr>
              <w:i/>
              <w:iCs/>
            </w:rPr>
            <w:t>Journal of American College Health</w:t>
          </w:r>
          <w:r>
            <w:t>. 65(3). 177-186.</w:t>
          </w:r>
          <w:r>
            <w:rPr>
              <w:kern w:val="0"/>
            </w:rPr>
            <w:t xml:space="preserve"> </w:t>
          </w:r>
          <w:hyperlink r:id="rId12" w:history="1">
            <w:r w:rsidR="00B85CE5" w:rsidRPr="00426B40">
              <w:rPr>
                <w:rStyle w:val="Hyperlink"/>
                <w:kern w:val="0"/>
              </w:rPr>
              <w:t>http://dx.doi.org/10.1080/07448481.2016.1266641</w:t>
            </w:r>
          </w:hyperlink>
        </w:p>
        <w:p w14:paraId="7DB34F4C" w14:textId="77777777" w:rsidR="00B85CE5" w:rsidRDefault="00B85CE5" w:rsidP="00B85CE5">
          <w:pPr>
            <w:ind w:firstLine="0"/>
            <w:rPr>
              <w:kern w:val="0"/>
            </w:rPr>
          </w:pPr>
          <w:r>
            <w:rPr>
              <w:kern w:val="0"/>
            </w:rPr>
            <w:t>Cowen, K.J., Hubbard, L.J., &amp; Hancock, D.C. (2016). Concerns of nursing students beginning</w:t>
          </w:r>
        </w:p>
        <w:p w14:paraId="144E7DF2" w14:textId="6D0BEDEB" w:rsidR="00B85CE5" w:rsidRPr="00B85CE5" w:rsidRDefault="00B85CE5" w:rsidP="00B85CE5">
          <w:pPr>
            <w:ind w:left="720" w:firstLine="0"/>
            <w:rPr>
              <w:kern w:val="0"/>
            </w:rPr>
          </w:pPr>
          <w:r>
            <w:rPr>
              <w:kern w:val="0"/>
            </w:rPr>
            <w:t xml:space="preserve">clinical courses: a descriptive study. </w:t>
          </w:r>
          <w:r>
            <w:rPr>
              <w:i/>
              <w:iCs/>
              <w:kern w:val="0"/>
            </w:rPr>
            <w:t>Nurse Education Today</w:t>
          </w:r>
          <w:r>
            <w:rPr>
              <w:kern w:val="0"/>
            </w:rPr>
            <w:t>. 43. 61-68. http://dx.doi.org/10.1016/j.nedt.2016.05.001</w:t>
          </w:r>
        </w:p>
        <w:p w14:paraId="690D56A7" w14:textId="446D8A9E" w:rsidR="00C30031" w:rsidRDefault="00C30031" w:rsidP="00C30031">
          <w:pPr>
            <w:pStyle w:val="Bibliography"/>
          </w:pPr>
          <w:r>
            <w:lastRenderedPageBreak/>
            <w:t xml:space="preserve">Duffy, A., Saunders, K., </w:t>
          </w:r>
          <w:r w:rsidR="00F31585">
            <w:t>Malhi</w:t>
          </w:r>
          <w:r>
            <w:t xml:space="preserve">, G.S., Patten, S., Cipriani, A., McNevin, S.H., MacDonald, E., &amp; </w:t>
          </w:r>
          <w:r w:rsidR="00F31585">
            <w:t>Geddes</w:t>
          </w:r>
          <w:r>
            <w:t xml:space="preserve">, J. (2019). Mental health care for university students: a way forward? </w:t>
          </w:r>
          <w:r>
            <w:rPr>
              <w:i/>
              <w:iCs/>
            </w:rPr>
            <w:t>The Lancet Psychiatry</w:t>
          </w:r>
          <w:r>
            <w:t>. 6(11). 885-887</w:t>
          </w:r>
        </w:p>
        <w:p w14:paraId="32A9AA29" w14:textId="77777777" w:rsidR="006946A0" w:rsidRDefault="006946A0" w:rsidP="006946A0">
          <w:pPr>
            <w:ind w:firstLine="0"/>
          </w:pPr>
          <w:r>
            <w:t>First, J, First, N.L., &amp; Houston, J.B. (2018). Resilience and coping intervention (RCI): a group</w:t>
          </w:r>
          <w:r>
            <w:tab/>
            <w:t xml:space="preserve">intervention to foster college student resilience. </w:t>
          </w:r>
          <w:r>
            <w:rPr>
              <w:i/>
              <w:iCs/>
            </w:rPr>
            <w:t>Social Work with Groups</w:t>
          </w:r>
          <w:r>
            <w:t>. 41(3). 198</w:t>
          </w:r>
        </w:p>
        <w:p w14:paraId="48519C43" w14:textId="2C142D3C" w:rsidR="006946A0" w:rsidRPr="006946A0" w:rsidRDefault="006946A0" w:rsidP="006946A0">
          <w:r>
            <w:t>210. https://doi.org/10.1080/01609513.2016.1272032</w:t>
          </w:r>
        </w:p>
        <w:p w14:paraId="6BF8F503" w14:textId="77777777" w:rsidR="00D63BD4" w:rsidRDefault="00D63BD4" w:rsidP="00D63BD4">
          <w:pPr>
            <w:ind w:firstLine="0"/>
          </w:pPr>
          <w:r>
            <w:t>Garett, R., Liu, S., &amp; Young, S.D. A longitudinal analysis of stress among incoming college</w:t>
          </w:r>
        </w:p>
        <w:p w14:paraId="75C043E1" w14:textId="4C1434C0" w:rsidR="00D63BD4" w:rsidRDefault="00D63BD4" w:rsidP="00D63BD4">
          <w:pPr>
            <w:ind w:left="720" w:firstLine="0"/>
            <w:rPr>
              <w:rStyle w:val="Hyperlink"/>
            </w:rPr>
          </w:pPr>
          <w:r>
            <w:t xml:space="preserve">freshmen. </w:t>
          </w:r>
          <w:r>
            <w:rPr>
              <w:i/>
              <w:iCs/>
            </w:rPr>
            <w:t>Journal of American College Health</w:t>
          </w:r>
          <w:r>
            <w:t xml:space="preserve">. 65(5) 331-338. </w:t>
          </w:r>
          <w:hyperlink r:id="rId13" w:history="1">
            <w:r w:rsidR="00C551E0" w:rsidRPr="00671A9E">
              <w:rPr>
                <w:rStyle w:val="Hyperlink"/>
              </w:rPr>
              <w:t>http://dx.doi.org/10.1080/07448481.2017.1312413</w:t>
            </w:r>
          </w:hyperlink>
        </w:p>
        <w:p w14:paraId="4AD3CE39" w14:textId="77777777" w:rsidR="00053EDD" w:rsidRDefault="00053EDD" w:rsidP="00053EDD">
          <w:pPr>
            <w:ind w:firstLine="0"/>
            <w:rPr>
              <w:rStyle w:val="Hyperlink"/>
              <w:color w:val="000000" w:themeColor="text1"/>
              <w:u w:val="none"/>
            </w:rPr>
          </w:pPr>
          <w:r>
            <w:rPr>
              <w:rStyle w:val="Hyperlink"/>
              <w:color w:val="000000" w:themeColor="text1"/>
              <w:u w:val="none"/>
            </w:rPr>
            <w:t>Harrison, P.D., Moore, P.S., &amp; Ryan, J.M. (1996). College students’ self-insight and common</w:t>
          </w:r>
        </w:p>
        <w:p w14:paraId="3E3881A4" w14:textId="66FB1EA7" w:rsidR="00053EDD" w:rsidRPr="00053EDD" w:rsidRDefault="00053EDD" w:rsidP="00053EDD">
          <w:pPr>
            <w:ind w:left="720" w:firstLine="0"/>
            <w:rPr>
              <w:color w:val="000000" w:themeColor="text1"/>
            </w:rPr>
          </w:pPr>
          <w:r>
            <w:rPr>
              <w:rStyle w:val="Hyperlink"/>
              <w:color w:val="000000" w:themeColor="text1"/>
              <w:u w:val="none"/>
            </w:rPr>
            <w:t xml:space="preserve">implicit theories in ratings of teaching effectiveness. </w:t>
          </w:r>
          <w:r>
            <w:rPr>
              <w:rStyle w:val="Hyperlink"/>
              <w:i/>
              <w:iCs/>
              <w:color w:val="000000" w:themeColor="text1"/>
              <w:u w:val="none"/>
            </w:rPr>
            <w:t>Journal of Educational Psychology</w:t>
          </w:r>
          <w:r>
            <w:rPr>
              <w:rStyle w:val="Hyperlink"/>
              <w:color w:val="000000" w:themeColor="text1"/>
              <w:u w:val="none"/>
            </w:rPr>
            <w:t>. 88(4). 775-782.</w:t>
          </w:r>
        </w:p>
        <w:p w14:paraId="15995BF9" w14:textId="77777777" w:rsidR="00C551E0" w:rsidRDefault="00C551E0" w:rsidP="00C551E0">
          <w:pPr>
            <w:ind w:firstLine="0"/>
          </w:pPr>
          <w:r>
            <w:t>Houston, J.B., First, J., Spialek, M.L., Sorenson, M.E., Mills-Sandoval, T., Lockett, M., First,</w:t>
          </w:r>
        </w:p>
        <w:p w14:paraId="7E4670F6" w14:textId="2B09A538" w:rsidR="00C551E0" w:rsidRPr="00C551E0" w:rsidRDefault="00C551E0" w:rsidP="00C551E0">
          <w:pPr>
            <w:ind w:left="720" w:firstLine="0"/>
          </w:pPr>
          <w:r>
            <w:t xml:space="preserve">N.L., Nitiema, P., Allen, S.F., &amp; Pfefferbaum, B. (2017). Randomized controlled. Trial of the resilience and coping intervention (RCI) with undergraduate university students. </w:t>
          </w:r>
          <w:r>
            <w:rPr>
              <w:i/>
              <w:iCs/>
            </w:rPr>
            <w:t>Journal of American College of Health</w:t>
          </w:r>
          <w:r>
            <w:t>. 65(1). 1-9. http://dx.doi.org/10.1080/07448481.2016.1227826</w:t>
          </w:r>
        </w:p>
        <w:p w14:paraId="27BAC74C" w14:textId="77777777" w:rsidR="00E071B4" w:rsidRDefault="00E071B4" w:rsidP="00E071B4">
          <w:pPr>
            <w:ind w:firstLine="0"/>
          </w:pPr>
          <w:r>
            <w:t xml:space="preserve">Julian, L.J. (2011). Measures of anxiety. </w:t>
          </w:r>
          <w:r>
            <w:rPr>
              <w:i/>
              <w:iCs/>
            </w:rPr>
            <w:t>American College of Rheumatology</w:t>
          </w:r>
          <w:r>
            <w:t>. 63(11). Doi:</w:t>
          </w:r>
        </w:p>
        <w:p w14:paraId="12DF9DF0" w14:textId="5B17027B" w:rsidR="00E071B4" w:rsidRDefault="00E071B4" w:rsidP="00E071B4">
          <w:r>
            <w:t>10.1002/acr.205</w:t>
          </w:r>
        </w:p>
        <w:p w14:paraId="17B39D4E" w14:textId="6607F3A4" w:rsidR="0009303E" w:rsidRDefault="0009303E" w:rsidP="0009303E">
          <w:pPr>
            <w:ind w:firstLine="0"/>
          </w:pPr>
          <w:r>
            <w:t xml:space="preserve">Karaca, A., Yildirim, N., Cangur, S., </w:t>
          </w:r>
          <w:r w:rsidR="008028FD">
            <w:t>Acikgoz</w:t>
          </w:r>
          <w:r>
            <w:t>, F., &amp; Akkus, D. (2019). Relationship between</w:t>
          </w:r>
        </w:p>
        <w:p w14:paraId="1CC71D0D" w14:textId="66E91ABC" w:rsidR="0009303E" w:rsidRPr="0009303E" w:rsidRDefault="0009303E" w:rsidP="0009303E">
          <w:pPr>
            <w:ind w:left="720" w:firstLine="0"/>
          </w:pPr>
          <w:r>
            <w:t xml:space="preserve">mental health of nursing students and coping, self-esteem and social support. </w:t>
          </w:r>
          <w:r>
            <w:rPr>
              <w:i/>
              <w:iCs/>
            </w:rPr>
            <w:t>Nurse Education Today</w:t>
          </w:r>
          <w:r>
            <w:t>. 76. 44-50. https://doi.org/10.1016/j.nedt.2019.01.029</w:t>
          </w:r>
        </w:p>
        <w:p w14:paraId="5A70ABEF" w14:textId="225B7E51" w:rsidR="00FC0A03" w:rsidRDefault="00FC0A03" w:rsidP="00FC0A03">
          <w:pPr>
            <w:ind w:firstLine="0"/>
          </w:pPr>
          <w:r>
            <w:t xml:space="preserve">Labrague, L.J., McEnroe-Petitte, D.M., Gloe, D., Thomas, L., </w:t>
          </w:r>
          <w:r w:rsidR="006E5388">
            <w:t>Papathanasiou</w:t>
          </w:r>
          <w:r>
            <w:t>, I.V., &amp; Tsaras, K.</w:t>
          </w:r>
        </w:p>
        <w:p w14:paraId="787E81C4" w14:textId="49DDB4FD" w:rsidR="00FC0A03" w:rsidRDefault="00FC0A03" w:rsidP="00FC0A03">
          <w:pPr>
            <w:ind w:left="720" w:firstLine="0"/>
          </w:pPr>
          <w:r>
            <w:lastRenderedPageBreak/>
            <w:t xml:space="preserve">(2017). A literature review on stress and coping strategies in nursing students. </w:t>
          </w:r>
          <w:r>
            <w:rPr>
              <w:i/>
              <w:iCs/>
            </w:rPr>
            <w:t>Journal of Mental Health</w:t>
          </w:r>
          <w:r>
            <w:t>. 26(5). 471-480. Doi: 10.1080/09638237.2016.1244721</w:t>
          </w:r>
        </w:p>
        <w:p w14:paraId="4B9CE677" w14:textId="77777777" w:rsidR="00B9307F" w:rsidRDefault="00B9307F" w:rsidP="00B9307F">
          <w:pPr>
            <w:ind w:firstLine="0"/>
          </w:pPr>
          <w:r>
            <w:t>Labrague, L.J., McEnroe-Petitte, D.M., Papathanasiou, I.V., Edet, O.B., Tsaras, K., Leocadio,</w:t>
          </w:r>
        </w:p>
        <w:p w14:paraId="6941F349" w14:textId="5D4246F5" w:rsidR="00B9307F" w:rsidRPr="00B9307F" w:rsidRDefault="00B9307F" w:rsidP="00B9307F">
          <w:pPr>
            <w:ind w:left="720" w:firstLine="0"/>
          </w:pPr>
          <w:r>
            <w:t xml:space="preserve">M.C., Colet, P., Kleisiaris, C.F., Fradelos, E.C., Rosales, R.A., Santos-Lucas, K.V., &amp; Velacaria, P.I.T. (2018). Stress and coping strategies among nursing students: an international study. </w:t>
          </w:r>
          <w:r>
            <w:rPr>
              <w:i/>
              <w:iCs/>
            </w:rPr>
            <w:t>Journal of Mental Health</w:t>
          </w:r>
          <w:r>
            <w:t>. 27(5). 402-408. https://doi.org/10.1080/09638237.2017.1417552</w:t>
          </w:r>
        </w:p>
        <w:p w14:paraId="43A82C70" w14:textId="51977062" w:rsidR="00491269" w:rsidRDefault="00491269" w:rsidP="00491269">
          <w:pPr>
            <w:ind w:firstLine="0"/>
          </w:pPr>
          <w:r>
            <w:t xml:space="preserve">Lazarus, R.S. &amp; Folkman, S. (1984). </w:t>
          </w:r>
          <w:r>
            <w:rPr>
              <w:i/>
              <w:iCs/>
            </w:rPr>
            <w:t>Stress, Appraisal, and Coping</w:t>
          </w:r>
          <w:r>
            <w:t>. Springer Publishing</w:t>
          </w:r>
          <w:r>
            <w:tab/>
            <w:t xml:space="preserve">Company. New York, NY. </w:t>
          </w:r>
        </w:p>
        <w:p w14:paraId="324C9056" w14:textId="30560EE3" w:rsidR="00D645E4" w:rsidRDefault="0012355F" w:rsidP="00491269">
          <w:pPr>
            <w:ind w:firstLine="0"/>
          </w:pPr>
          <w:r>
            <w:t>Li, C., Yin, H., Zhao, J., Shang, B., Hu, M., Zhang, P., &amp; Chen, L. (201</w:t>
          </w:r>
          <w:r w:rsidR="00B12710">
            <w:t>7</w:t>
          </w:r>
          <w:r>
            <w:t>). Interventions to</w:t>
          </w:r>
        </w:p>
        <w:p w14:paraId="39BF377E" w14:textId="188B099A" w:rsidR="0012355F" w:rsidRPr="00D645E4" w:rsidRDefault="0012355F" w:rsidP="00D645E4">
          <w:pPr>
            <w:ind w:left="720" w:firstLine="0"/>
          </w:pPr>
          <w:r>
            <w:t xml:space="preserve">promote mental health in nursing students: a systematic review and meta-analysis of randomized controlled trials. </w:t>
          </w:r>
          <w:r w:rsidR="00D645E4">
            <w:rPr>
              <w:i/>
              <w:iCs/>
            </w:rPr>
            <w:t>Journal of Advanced Nursing</w:t>
          </w:r>
          <w:r w:rsidR="00D645E4">
            <w:t>. 74. 2727-2741. https://doi.org/10.1111.jan.13808</w:t>
          </w:r>
        </w:p>
        <w:p w14:paraId="46C67EA8" w14:textId="77777777" w:rsidR="00F54E64" w:rsidRDefault="00F54E64" w:rsidP="00F54E64">
          <w:pPr>
            <w:ind w:firstLine="0"/>
          </w:pPr>
          <w:r>
            <w:t>Marsh, C.N. &amp; Wilcoxon, S. A. (2015). Underutilization of mental health services among college</w:t>
          </w:r>
        </w:p>
        <w:p w14:paraId="4986EFFE" w14:textId="1CFDA633" w:rsidR="00F54E64" w:rsidRPr="00F54E64" w:rsidRDefault="00F54E64" w:rsidP="00F54E64">
          <w:pPr>
            <w:ind w:left="720" w:firstLine="0"/>
          </w:pPr>
          <w:r>
            <w:t xml:space="preserve">students: an examination of system-related barriers. </w:t>
          </w:r>
          <w:r>
            <w:rPr>
              <w:i/>
              <w:iCs/>
            </w:rPr>
            <w:t>Journal of College Student Psychotherapy</w:t>
          </w:r>
          <w:r>
            <w:t>. 29. 227-243. Doi: 10.1080/87568225.2015.1045783</w:t>
          </w:r>
        </w:p>
        <w:p w14:paraId="3FC24073" w14:textId="77777777" w:rsidR="00C30031" w:rsidRDefault="00C30031" w:rsidP="00C30031">
          <w:pPr>
            <w:ind w:firstLine="0"/>
          </w:pPr>
          <w:r>
            <w:t>Moeller, R.W., Seehuus, M., &amp; Peisch. (2020). Emotional intelligence, belongingness, and</w:t>
          </w:r>
        </w:p>
        <w:p w14:paraId="249545C1" w14:textId="4A78F28B" w:rsidR="00E071B4" w:rsidRDefault="00C30031" w:rsidP="00E071B4">
          <w:pPr>
            <w:ind w:left="720" w:firstLine="0"/>
          </w:pPr>
          <w:r>
            <w:t xml:space="preserve">mental health in college students. </w:t>
          </w:r>
          <w:r>
            <w:rPr>
              <w:i/>
              <w:iCs/>
            </w:rPr>
            <w:t>Frontiers in Psychology</w:t>
          </w:r>
          <w:r>
            <w:t xml:space="preserve">. 11(93). </w:t>
          </w:r>
          <w:r w:rsidR="00F31585">
            <w:t>D</w:t>
          </w:r>
          <w:r>
            <w:t>oi: 10.3389/fpsyg.2020.00093</w:t>
          </w:r>
        </w:p>
        <w:p w14:paraId="4CD16B14" w14:textId="77777777" w:rsidR="00681443" w:rsidRDefault="00681443" w:rsidP="00681443">
          <w:pPr>
            <w:ind w:firstLine="0"/>
          </w:pPr>
          <w:r>
            <w:t>Ok, E., Kutlu, F.Y., &amp; Ates, E. (2020). The effect of standardized patient simulation prior to</w:t>
          </w:r>
        </w:p>
        <w:p w14:paraId="362BE3DD" w14:textId="2D0A7373" w:rsidR="00681443" w:rsidRDefault="00681443" w:rsidP="00681443">
          <w:pPr>
            <w:ind w:left="720" w:firstLine="0"/>
            <w:rPr>
              <w:rStyle w:val="Hyperlink"/>
            </w:rPr>
          </w:pPr>
          <w:r>
            <w:t xml:space="preserve">mental health rotation on nursing students’ anxiety and communication skills. </w:t>
          </w:r>
          <w:r>
            <w:rPr>
              <w:i/>
              <w:iCs/>
            </w:rPr>
            <w:t>Issues in Mental Health Nursing</w:t>
          </w:r>
          <w:r>
            <w:t xml:space="preserve">. 41(3). 251-255. </w:t>
          </w:r>
          <w:hyperlink r:id="rId14" w:history="1">
            <w:r w:rsidR="00CA139B" w:rsidRPr="006E1386">
              <w:rPr>
                <w:rStyle w:val="Hyperlink"/>
              </w:rPr>
              <w:t>https://doi.org/10.1080/01612840.2019.1642427</w:t>
            </w:r>
          </w:hyperlink>
        </w:p>
        <w:p w14:paraId="45FC251B" w14:textId="77777777" w:rsidR="00F46396" w:rsidRDefault="00F46396" w:rsidP="00F46396">
          <w:pPr>
            <w:ind w:firstLine="0"/>
            <w:rPr>
              <w:rStyle w:val="Hyperlink"/>
              <w:color w:val="auto"/>
              <w:u w:val="none"/>
            </w:rPr>
          </w:pPr>
          <w:r>
            <w:rPr>
              <w:rStyle w:val="Hyperlink"/>
              <w:color w:val="auto"/>
              <w:u w:val="none"/>
            </w:rPr>
            <w:lastRenderedPageBreak/>
            <w:t>Ray, M.E., Coon, J.M., Al-Jumaili, A.A., &amp; Fullerton, M. (2018). Quantitative and qualitative</w:t>
          </w:r>
          <w:r>
            <w:rPr>
              <w:rStyle w:val="Hyperlink"/>
              <w:color w:val="auto"/>
              <w:u w:val="none"/>
            </w:rPr>
            <w:tab/>
            <w:t>factors associated with social isolation among graduate and professional health science</w:t>
          </w:r>
        </w:p>
        <w:p w14:paraId="04FBD654" w14:textId="643A84FC" w:rsidR="00F46396" w:rsidRDefault="00F46396" w:rsidP="00F46396">
          <w:pPr>
            <w:rPr>
              <w:rStyle w:val="Hyperlink"/>
              <w:color w:val="auto"/>
              <w:u w:val="none"/>
            </w:rPr>
          </w:pPr>
          <w:r>
            <w:rPr>
              <w:rStyle w:val="Hyperlink"/>
              <w:color w:val="auto"/>
              <w:u w:val="none"/>
            </w:rPr>
            <w:t xml:space="preserve">students. </w:t>
          </w:r>
          <w:r>
            <w:rPr>
              <w:rStyle w:val="Hyperlink"/>
              <w:i/>
              <w:iCs/>
              <w:color w:val="auto"/>
              <w:u w:val="none"/>
            </w:rPr>
            <w:t>American Journal of Pharmaceutical Education</w:t>
          </w:r>
          <w:r>
            <w:rPr>
              <w:rStyle w:val="Hyperlink"/>
              <w:color w:val="auto"/>
              <w:u w:val="none"/>
            </w:rPr>
            <w:t>. 83(7). 1558-1569.</w:t>
          </w:r>
        </w:p>
        <w:p w14:paraId="7316EFD4" w14:textId="77777777" w:rsidR="00091EC8" w:rsidRDefault="00091EC8" w:rsidP="00091EC8">
          <w:pPr>
            <w:ind w:firstLine="0"/>
            <w:rPr>
              <w:rStyle w:val="Hyperlink"/>
              <w:color w:val="auto"/>
              <w:u w:val="none"/>
            </w:rPr>
          </w:pPr>
          <w:r>
            <w:rPr>
              <w:rStyle w:val="Hyperlink"/>
              <w:color w:val="auto"/>
              <w:u w:val="none"/>
            </w:rPr>
            <w:t>Savitsky, B., Findling, Y., Ereli, A, &amp; Hendel, T. (2020). Anxiety and coping strategies among</w:t>
          </w:r>
        </w:p>
        <w:p w14:paraId="340CA325" w14:textId="1DD442E4" w:rsidR="00091EC8" w:rsidRPr="00091EC8" w:rsidRDefault="00091EC8" w:rsidP="00091EC8">
          <w:pPr>
            <w:ind w:left="720" w:firstLine="0"/>
          </w:pPr>
          <w:r>
            <w:rPr>
              <w:rStyle w:val="Hyperlink"/>
              <w:color w:val="auto"/>
              <w:u w:val="none"/>
            </w:rPr>
            <w:t xml:space="preserve">nursing students during the covid-19 pandemic. </w:t>
          </w:r>
          <w:r>
            <w:rPr>
              <w:rStyle w:val="Hyperlink"/>
              <w:i/>
              <w:iCs/>
              <w:color w:val="auto"/>
              <w:u w:val="none"/>
            </w:rPr>
            <w:t>Nurse Education in Practice</w:t>
          </w:r>
          <w:r>
            <w:rPr>
              <w:rStyle w:val="Hyperlink"/>
              <w:color w:val="auto"/>
              <w:u w:val="none"/>
            </w:rPr>
            <w:t>. 46. https://doi.org/10.1016/j.nepr.2020.102809</w:t>
          </w:r>
        </w:p>
        <w:p w14:paraId="4E60F36C" w14:textId="77777777" w:rsidR="00CA139B" w:rsidRDefault="00CA139B" w:rsidP="00CA139B">
          <w:pPr>
            <w:ind w:firstLine="0"/>
          </w:pPr>
          <w:r>
            <w:t>Snircova, E., Marcincakova-Husarova, V., Hrtanek, I., Kulhan, T., Ondrejka, I., &amp; Nosalova, G.</w:t>
          </w:r>
        </w:p>
        <w:p w14:paraId="0AEBFDA4" w14:textId="723E0220" w:rsidR="00CA139B" w:rsidRPr="00CA139B" w:rsidRDefault="00CA139B" w:rsidP="0011649C">
          <w:pPr>
            <w:ind w:left="720" w:firstLine="0"/>
          </w:pPr>
          <w:r>
            <w:t>(2016). Anxiety reduction on atomoxetine and methylphenidate medication in children</w:t>
          </w:r>
          <w:r w:rsidR="0011649C">
            <w:t xml:space="preserve"> </w:t>
          </w:r>
          <w:r>
            <w:t xml:space="preserve">with </w:t>
          </w:r>
          <w:proofErr w:type="spellStart"/>
          <w:r>
            <w:t>adhd</w:t>
          </w:r>
          <w:proofErr w:type="spellEnd"/>
          <w:r>
            <w:t xml:space="preserve">. </w:t>
          </w:r>
          <w:r>
            <w:rPr>
              <w:i/>
              <w:iCs/>
            </w:rPr>
            <w:t>Pediatric International</w:t>
          </w:r>
          <w:r>
            <w:t>. 58(6). 476-481. Doi: 10.1111/ped.12847</w:t>
          </w:r>
        </w:p>
        <w:p w14:paraId="4A04892F" w14:textId="77777777" w:rsidR="00E071B4" w:rsidRDefault="00E071B4" w:rsidP="00E071B4">
          <w:pPr>
            <w:ind w:firstLine="0"/>
          </w:pPr>
          <w:r>
            <w:t>Sullivan, J.R. (2010). Preliminary psychometric data for the academic coping strategies scale.</w:t>
          </w:r>
        </w:p>
        <w:p w14:paraId="0F8A5C53" w14:textId="23D8ECDD" w:rsidR="00E071B4" w:rsidRDefault="00E071B4" w:rsidP="00E071B4">
          <w:r>
            <w:rPr>
              <w:i/>
              <w:iCs/>
            </w:rPr>
            <w:t>Assessment for Effective Intervention</w:t>
          </w:r>
          <w:r>
            <w:t>. 35(2). 114-127</w:t>
          </w:r>
        </w:p>
        <w:p w14:paraId="7BC24685" w14:textId="77777777" w:rsidR="005814D7" w:rsidRDefault="005814D7" w:rsidP="005814D7">
          <w:pPr>
            <w:ind w:firstLine="0"/>
          </w:pPr>
          <w:r>
            <w:t>Sun, F., Long, A., Tseng, Y.S., Huang, H., You, J., &amp; Chiang, C. (2016). Undergraduate student</w:t>
          </w:r>
        </w:p>
        <w:p w14:paraId="0EADED51" w14:textId="152306A3" w:rsidR="005814D7" w:rsidRPr="005814D7" w:rsidRDefault="005814D7" w:rsidP="005814D7">
          <w:pPr>
            <w:ind w:left="720" w:firstLine="0"/>
          </w:pPr>
          <w:r>
            <w:t xml:space="preserve">nurses’ lived experiences of anxiety during their first clinical practicum: a phenomenological study. </w:t>
          </w:r>
          <w:r>
            <w:rPr>
              <w:i/>
              <w:iCs/>
            </w:rPr>
            <w:t>Nurse Education Today</w:t>
          </w:r>
          <w:r>
            <w:t>. 37. 21-26. http://dx.doi.og/10.1016/j.net.2015.11.001</w:t>
          </w:r>
        </w:p>
        <w:p w14:paraId="255BDB6B" w14:textId="58392D8C" w:rsidR="0040639B" w:rsidRDefault="00366D6E" w:rsidP="00E071B4">
          <w:pPr>
            <w:ind w:firstLine="0"/>
          </w:pPr>
          <w:r>
            <w:t>Tavakoli, N., Broyles, A., Reid, E.K., Sandoval, J. R., &amp; Correa-Fernandez. (2018).</w:t>
          </w:r>
        </w:p>
        <w:p w14:paraId="4FFD4FFE" w14:textId="77CA3825" w:rsidR="00366D6E" w:rsidRPr="00366D6E" w:rsidRDefault="00366D6E" w:rsidP="0040639B">
          <w:pPr>
            <w:ind w:left="720" w:firstLine="0"/>
          </w:pPr>
          <w:r>
            <w:t xml:space="preserve">Psychological </w:t>
          </w:r>
          <w:r w:rsidR="0040639B">
            <w:t>inflexibility</w:t>
          </w:r>
          <w:r>
            <w:t xml:space="preserve"> as it relates to stress, worry, generalized anxiety, and somatization in an ethnically diverse sample of college students. </w:t>
          </w:r>
          <w:r>
            <w:rPr>
              <w:i/>
              <w:iCs/>
            </w:rPr>
            <w:t xml:space="preserve">Journal of </w:t>
          </w:r>
          <w:r w:rsidR="0040639B">
            <w:rPr>
              <w:i/>
              <w:iCs/>
            </w:rPr>
            <w:t>Contextual</w:t>
          </w:r>
          <w:r>
            <w:rPr>
              <w:i/>
              <w:iCs/>
            </w:rPr>
            <w:t xml:space="preserve"> Behavioral Science</w:t>
          </w:r>
          <w:r>
            <w:t>. 11. 1-5. https://doi.org</w:t>
          </w:r>
          <w:r w:rsidR="0040639B">
            <w:t>/10.1016.j.jcbs.2018.11.001</w:t>
          </w:r>
        </w:p>
        <w:p w14:paraId="43F29EFC" w14:textId="77777777" w:rsidR="004E0504" w:rsidRDefault="000D0672" w:rsidP="000D0672">
          <w:pPr>
            <w:ind w:firstLine="0"/>
          </w:pPr>
          <w:r>
            <w:t>Tran, A., Lam, C.K., &amp; Legg, E. (2018). Financial stress, social supports, gender, and anxiety</w:t>
          </w:r>
        </w:p>
        <w:p w14:paraId="4DCA0FF9" w14:textId="1A16CD2F" w:rsidR="000D0672" w:rsidRDefault="000D0672" w:rsidP="004E0504">
          <w:pPr>
            <w:ind w:left="720" w:firstLine="0"/>
          </w:pPr>
          <w:r>
            <w:t xml:space="preserve">during college: a stress-buffering perspective. </w:t>
          </w:r>
          <w:r>
            <w:rPr>
              <w:i/>
              <w:iCs/>
            </w:rPr>
            <w:t>The Counseling Psychologist</w:t>
          </w:r>
          <w:r>
            <w:t>. 46(7). 846-869. Doi: 10.1177/0011</w:t>
          </w:r>
          <w:r w:rsidR="004E0504">
            <w:t>000018806687</w:t>
          </w:r>
        </w:p>
        <w:p w14:paraId="5358FD18" w14:textId="77777777" w:rsidR="00690285" w:rsidRDefault="00690285" w:rsidP="00690285">
          <w:pPr>
            <w:ind w:firstLine="0"/>
          </w:pPr>
          <w:r>
            <w:t>Turner, J.C., Keller, A., Wu, H., Zimmerman, M., Zhang, J., &amp; Barnes, L. E. (2018). Utilization</w:t>
          </w:r>
        </w:p>
        <w:p w14:paraId="6EEB4599" w14:textId="52D9F1BF" w:rsidR="003538CD" w:rsidRDefault="00690285" w:rsidP="003538CD">
          <w:pPr>
            <w:ind w:left="720" w:firstLine="0"/>
          </w:pPr>
          <w:r>
            <w:lastRenderedPageBreak/>
            <w:t xml:space="preserve">of primary care among college students with mental health disorders. </w:t>
          </w:r>
          <w:r>
            <w:rPr>
              <w:i/>
              <w:iCs/>
            </w:rPr>
            <w:t>Health Psychology</w:t>
          </w:r>
          <w:r>
            <w:t>. 37(4). 385-393.</w:t>
          </w:r>
          <w:r w:rsidR="006E5388">
            <w:t xml:space="preserve"> </w:t>
          </w:r>
          <w:r>
            <w:t>http://dx.doi.org/10.1037.hea0000580</w:t>
          </w:r>
        </w:p>
      </w:sdtContent>
    </w:sdt>
    <w:p w14:paraId="66E0DB0B" w14:textId="48A14BF1" w:rsidR="001E2483" w:rsidRPr="003538CD" w:rsidRDefault="001E2483" w:rsidP="001E2483">
      <w:pPr>
        <w:ind w:firstLine="0"/>
      </w:pPr>
      <w:r w:rsidRPr="001E2483">
        <w:rPr>
          <w:b/>
          <w:bCs/>
        </w:rPr>
        <w:t xml:space="preserve"> </w:t>
      </w:r>
      <w:r w:rsidRPr="006F2059">
        <w:rPr>
          <w:b/>
          <w:bCs/>
        </w:rPr>
        <w:t>Demographics</w:t>
      </w:r>
    </w:p>
    <w:tbl>
      <w:tblPr>
        <w:tblStyle w:val="TableGrid"/>
        <w:tblW w:w="0" w:type="auto"/>
        <w:tblLook w:val="04A0" w:firstRow="1" w:lastRow="0" w:firstColumn="1" w:lastColumn="0" w:noHBand="0" w:noVBand="1"/>
      </w:tblPr>
      <w:tblGrid>
        <w:gridCol w:w="3116"/>
        <w:gridCol w:w="3117"/>
        <w:gridCol w:w="3117"/>
      </w:tblGrid>
      <w:tr w:rsidR="00205ADB" w14:paraId="2EEB4647" w14:textId="77777777" w:rsidTr="00205ADB">
        <w:tc>
          <w:tcPr>
            <w:tcW w:w="3120" w:type="dxa"/>
          </w:tcPr>
          <w:p w14:paraId="61E46673" w14:textId="36B883CA" w:rsidR="00205ADB" w:rsidRDefault="00205ADB" w:rsidP="001E2483">
            <w:pPr>
              <w:ind w:firstLine="0"/>
              <w:rPr>
                <w:b/>
                <w:bCs/>
              </w:rPr>
            </w:pPr>
            <w:r>
              <w:rPr>
                <w:b/>
                <w:bCs/>
              </w:rPr>
              <w:t>Age</w:t>
            </w:r>
          </w:p>
        </w:tc>
        <w:tc>
          <w:tcPr>
            <w:tcW w:w="3120" w:type="dxa"/>
          </w:tcPr>
          <w:p w14:paraId="123B2A71" w14:textId="0AD8EE0B" w:rsidR="00205ADB" w:rsidRDefault="00205ADB" w:rsidP="001E2483">
            <w:pPr>
              <w:ind w:firstLine="0"/>
              <w:rPr>
                <w:b/>
                <w:bCs/>
              </w:rPr>
            </w:pPr>
            <w:r>
              <w:rPr>
                <w:b/>
                <w:bCs/>
              </w:rPr>
              <w:t>Total</w:t>
            </w:r>
          </w:p>
        </w:tc>
        <w:tc>
          <w:tcPr>
            <w:tcW w:w="3120" w:type="dxa"/>
          </w:tcPr>
          <w:p w14:paraId="02D7E14F" w14:textId="45BFFEBE" w:rsidR="00205ADB" w:rsidRDefault="00205ADB" w:rsidP="001E2483">
            <w:pPr>
              <w:ind w:firstLine="0"/>
              <w:rPr>
                <w:b/>
                <w:bCs/>
              </w:rPr>
            </w:pPr>
            <w:r>
              <w:rPr>
                <w:b/>
                <w:bCs/>
              </w:rPr>
              <w:t>Percent</w:t>
            </w:r>
          </w:p>
        </w:tc>
      </w:tr>
      <w:tr w:rsidR="00205ADB" w14:paraId="3B136971" w14:textId="77777777" w:rsidTr="00205ADB">
        <w:tc>
          <w:tcPr>
            <w:tcW w:w="3120" w:type="dxa"/>
          </w:tcPr>
          <w:p w14:paraId="12F3DC94" w14:textId="1EAFB2D3" w:rsidR="00205ADB" w:rsidRPr="00205ADB" w:rsidRDefault="00205ADB" w:rsidP="001E2483">
            <w:pPr>
              <w:ind w:firstLine="0"/>
            </w:pPr>
            <w:r w:rsidRPr="00205ADB">
              <w:t>18</w:t>
            </w:r>
          </w:p>
        </w:tc>
        <w:tc>
          <w:tcPr>
            <w:tcW w:w="3120" w:type="dxa"/>
          </w:tcPr>
          <w:p w14:paraId="3061C886" w14:textId="750545DE" w:rsidR="00205ADB" w:rsidRPr="00205ADB" w:rsidRDefault="00205ADB" w:rsidP="001E2483">
            <w:pPr>
              <w:ind w:firstLine="0"/>
            </w:pPr>
            <w:r w:rsidRPr="00205ADB">
              <w:t>21</w:t>
            </w:r>
          </w:p>
        </w:tc>
        <w:tc>
          <w:tcPr>
            <w:tcW w:w="3120" w:type="dxa"/>
          </w:tcPr>
          <w:p w14:paraId="32567D58" w14:textId="3F194E48" w:rsidR="00205ADB" w:rsidRPr="00205ADB" w:rsidRDefault="00205ADB" w:rsidP="001E2483">
            <w:pPr>
              <w:ind w:firstLine="0"/>
            </w:pPr>
            <w:r w:rsidRPr="00205ADB">
              <w:t>42.9</w:t>
            </w:r>
          </w:p>
        </w:tc>
      </w:tr>
      <w:tr w:rsidR="00205ADB" w14:paraId="1B3D29A6" w14:textId="77777777" w:rsidTr="00205ADB">
        <w:tc>
          <w:tcPr>
            <w:tcW w:w="3120" w:type="dxa"/>
          </w:tcPr>
          <w:p w14:paraId="72C0F109" w14:textId="2ACB4EA1" w:rsidR="00205ADB" w:rsidRPr="00205ADB" w:rsidRDefault="00205ADB" w:rsidP="001E2483">
            <w:pPr>
              <w:ind w:firstLine="0"/>
            </w:pPr>
            <w:r w:rsidRPr="00205ADB">
              <w:t>19</w:t>
            </w:r>
          </w:p>
        </w:tc>
        <w:tc>
          <w:tcPr>
            <w:tcW w:w="3120" w:type="dxa"/>
          </w:tcPr>
          <w:p w14:paraId="6EEBD011" w14:textId="6789F913" w:rsidR="00205ADB" w:rsidRPr="00205ADB" w:rsidRDefault="00205ADB" w:rsidP="001E2483">
            <w:pPr>
              <w:ind w:firstLine="0"/>
            </w:pPr>
            <w:r w:rsidRPr="00205ADB">
              <w:t>17</w:t>
            </w:r>
          </w:p>
        </w:tc>
        <w:tc>
          <w:tcPr>
            <w:tcW w:w="3120" w:type="dxa"/>
          </w:tcPr>
          <w:p w14:paraId="679A084C" w14:textId="3300C2E9" w:rsidR="00205ADB" w:rsidRPr="00205ADB" w:rsidRDefault="00205ADB" w:rsidP="001E2483">
            <w:pPr>
              <w:ind w:firstLine="0"/>
            </w:pPr>
            <w:r w:rsidRPr="00205ADB">
              <w:t>34.7</w:t>
            </w:r>
          </w:p>
        </w:tc>
      </w:tr>
      <w:tr w:rsidR="00205ADB" w14:paraId="1A604340" w14:textId="77777777" w:rsidTr="00205ADB">
        <w:tc>
          <w:tcPr>
            <w:tcW w:w="3120" w:type="dxa"/>
          </w:tcPr>
          <w:p w14:paraId="14737736" w14:textId="53D871DE" w:rsidR="00205ADB" w:rsidRPr="00205ADB" w:rsidRDefault="00205ADB" w:rsidP="001E2483">
            <w:pPr>
              <w:ind w:firstLine="0"/>
            </w:pPr>
            <w:r w:rsidRPr="00205ADB">
              <w:t>20</w:t>
            </w:r>
          </w:p>
        </w:tc>
        <w:tc>
          <w:tcPr>
            <w:tcW w:w="3120" w:type="dxa"/>
          </w:tcPr>
          <w:p w14:paraId="2CB1050C" w14:textId="332547BD" w:rsidR="00205ADB" w:rsidRPr="00205ADB" w:rsidRDefault="00205ADB" w:rsidP="001E2483">
            <w:pPr>
              <w:ind w:firstLine="0"/>
            </w:pPr>
            <w:r w:rsidRPr="00205ADB">
              <w:t>4</w:t>
            </w:r>
          </w:p>
        </w:tc>
        <w:tc>
          <w:tcPr>
            <w:tcW w:w="3120" w:type="dxa"/>
          </w:tcPr>
          <w:p w14:paraId="1E1B5A34" w14:textId="690F6763" w:rsidR="00205ADB" w:rsidRPr="00205ADB" w:rsidRDefault="00205ADB" w:rsidP="001E2483">
            <w:pPr>
              <w:ind w:firstLine="0"/>
            </w:pPr>
            <w:r w:rsidRPr="00205ADB">
              <w:t>8.2</w:t>
            </w:r>
          </w:p>
        </w:tc>
      </w:tr>
      <w:tr w:rsidR="00205ADB" w14:paraId="6D687E4C" w14:textId="77777777" w:rsidTr="00205ADB">
        <w:tc>
          <w:tcPr>
            <w:tcW w:w="3120" w:type="dxa"/>
          </w:tcPr>
          <w:p w14:paraId="7A00B73A" w14:textId="421CB2CF" w:rsidR="00205ADB" w:rsidRPr="00205ADB" w:rsidRDefault="00205ADB" w:rsidP="001E2483">
            <w:pPr>
              <w:ind w:firstLine="0"/>
            </w:pPr>
            <w:r w:rsidRPr="00205ADB">
              <w:t>21</w:t>
            </w:r>
          </w:p>
        </w:tc>
        <w:tc>
          <w:tcPr>
            <w:tcW w:w="3120" w:type="dxa"/>
          </w:tcPr>
          <w:p w14:paraId="08822921" w14:textId="383DDE79" w:rsidR="00205ADB" w:rsidRPr="00205ADB" w:rsidRDefault="00205ADB" w:rsidP="001E2483">
            <w:pPr>
              <w:ind w:firstLine="0"/>
            </w:pPr>
            <w:r w:rsidRPr="00205ADB">
              <w:t>1</w:t>
            </w:r>
          </w:p>
        </w:tc>
        <w:tc>
          <w:tcPr>
            <w:tcW w:w="3120" w:type="dxa"/>
          </w:tcPr>
          <w:p w14:paraId="0470909D" w14:textId="3A573A30" w:rsidR="00205ADB" w:rsidRPr="00205ADB" w:rsidRDefault="00205ADB" w:rsidP="001E2483">
            <w:pPr>
              <w:ind w:firstLine="0"/>
            </w:pPr>
            <w:r w:rsidRPr="00205ADB">
              <w:t>2.0</w:t>
            </w:r>
          </w:p>
        </w:tc>
      </w:tr>
      <w:tr w:rsidR="00205ADB" w14:paraId="12256165" w14:textId="77777777" w:rsidTr="00205ADB">
        <w:tc>
          <w:tcPr>
            <w:tcW w:w="3120" w:type="dxa"/>
          </w:tcPr>
          <w:p w14:paraId="5CC20A57" w14:textId="6097727F" w:rsidR="00205ADB" w:rsidRPr="00205ADB" w:rsidRDefault="00205ADB" w:rsidP="001E2483">
            <w:pPr>
              <w:ind w:firstLine="0"/>
            </w:pPr>
            <w:r w:rsidRPr="00205ADB">
              <w:t>22</w:t>
            </w:r>
          </w:p>
        </w:tc>
        <w:tc>
          <w:tcPr>
            <w:tcW w:w="3120" w:type="dxa"/>
          </w:tcPr>
          <w:p w14:paraId="1B1398A1" w14:textId="388CA65E" w:rsidR="00205ADB" w:rsidRPr="00205ADB" w:rsidRDefault="00205ADB" w:rsidP="001E2483">
            <w:pPr>
              <w:ind w:firstLine="0"/>
            </w:pPr>
            <w:r w:rsidRPr="00205ADB">
              <w:t>4</w:t>
            </w:r>
          </w:p>
        </w:tc>
        <w:tc>
          <w:tcPr>
            <w:tcW w:w="3120" w:type="dxa"/>
          </w:tcPr>
          <w:p w14:paraId="59D316FA" w14:textId="682A0163" w:rsidR="00205ADB" w:rsidRPr="00205ADB" w:rsidRDefault="00205ADB" w:rsidP="001E2483">
            <w:pPr>
              <w:ind w:firstLine="0"/>
            </w:pPr>
            <w:r w:rsidRPr="00205ADB">
              <w:t>8.2</w:t>
            </w:r>
          </w:p>
        </w:tc>
      </w:tr>
      <w:tr w:rsidR="00205ADB" w14:paraId="01E693A9" w14:textId="77777777" w:rsidTr="00205ADB">
        <w:tc>
          <w:tcPr>
            <w:tcW w:w="3120" w:type="dxa"/>
          </w:tcPr>
          <w:p w14:paraId="77E931A8" w14:textId="041C428D" w:rsidR="00205ADB" w:rsidRPr="00205ADB" w:rsidRDefault="00205ADB" w:rsidP="001E2483">
            <w:pPr>
              <w:ind w:firstLine="0"/>
            </w:pPr>
            <w:r w:rsidRPr="00205ADB">
              <w:t>23</w:t>
            </w:r>
          </w:p>
        </w:tc>
        <w:tc>
          <w:tcPr>
            <w:tcW w:w="3120" w:type="dxa"/>
          </w:tcPr>
          <w:p w14:paraId="4822E88D" w14:textId="06D738E5" w:rsidR="00205ADB" w:rsidRPr="00205ADB" w:rsidRDefault="00205ADB" w:rsidP="001E2483">
            <w:pPr>
              <w:ind w:firstLine="0"/>
            </w:pPr>
            <w:r w:rsidRPr="00205ADB">
              <w:t>1</w:t>
            </w:r>
          </w:p>
        </w:tc>
        <w:tc>
          <w:tcPr>
            <w:tcW w:w="3120" w:type="dxa"/>
          </w:tcPr>
          <w:p w14:paraId="7E404010" w14:textId="446ED36A" w:rsidR="00205ADB" w:rsidRPr="00205ADB" w:rsidRDefault="00205ADB" w:rsidP="001E2483">
            <w:pPr>
              <w:ind w:firstLine="0"/>
            </w:pPr>
            <w:r w:rsidRPr="00205ADB">
              <w:t>2.0</w:t>
            </w:r>
          </w:p>
        </w:tc>
      </w:tr>
      <w:tr w:rsidR="00205ADB" w14:paraId="222ED212" w14:textId="77777777" w:rsidTr="00205ADB">
        <w:tc>
          <w:tcPr>
            <w:tcW w:w="3120" w:type="dxa"/>
          </w:tcPr>
          <w:p w14:paraId="1C5C1ED1" w14:textId="3B811230" w:rsidR="00205ADB" w:rsidRPr="00205ADB" w:rsidRDefault="00205ADB" w:rsidP="001E2483">
            <w:pPr>
              <w:ind w:firstLine="0"/>
            </w:pPr>
            <w:r w:rsidRPr="00205ADB">
              <w:t>24</w:t>
            </w:r>
          </w:p>
        </w:tc>
        <w:tc>
          <w:tcPr>
            <w:tcW w:w="3120" w:type="dxa"/>
          </w:tcPr>
          <w:p w14:paraId="1517027B" w14:textId="09AE6D61" w:rsidR="00205ADB" w:rsidRPr="00205ADB" w:rsidRDefault="00205ADB" w:rsidP="001E2483">
            <w:pPr>
              <w:ind w:firstLine="0"/>
            </w:pPr>
            <w:r w:rsidRPr="00205ADB">
              <w:t>0</w:t>
            </w:r>
          </w:p>
        </w:tc>
        <w:tc>
          <w:tcPr>
            <w:tcW w:w="3120" w:type="dxa"/>
          </w:tcPr>
          <w:p w14:paraId="2EC6F842" w14:textId="2CC8B39E" w:rsidR="00205ADB" w:rsidRPr="00205ADB" w:rsidRDefault="00205ADB" w:rsidP="001E2483">
            <w:pPr>
              <w:ind w:firstLine="0"/>
            </w:pPr>
            <w:r w:rsidRPr="00205ADB">
              <w:t>0.0</w:t>
            </w:r>
          </w:p>
        </w:tc>
      </w:tr>
      <w:tr w:rsidR="00205ADB" w14:paraId="37611B8C" w14:textId="77777777" w:rsidTr="00205ADB">
        <w:tc>
          <w:tcPr>
            <w:tcW w:w="3120" w:type="dxa"/>
          </w:tcPr>
          <w:p w14:paraId="4FD0C4BF" w14:textId="1358F96F" w:rsidR="00205ADB" w:rsidRPr="00205ADB" w:rsidRDefault="00205ADB" w:rsidP="001E2483">
            <w:pPr>
              <w:ind w:firstLine="0"/>
            </w:pPr>
            <w:r w:rsidRPr="00205ADB">
              <w:t>25+</w:t>
            </w:r>
          </w:p>
        </w:tc>
        <w:tc>
          <w:tcPr>
            <w:tcW w:w="3120" w:type="dxa"/>
          </w:tcPr>
          <w:p w14:paraId="1718BC37" w14:textId="03A6E0F5" w:rsidR="00205ADB" w:rsidRPr="00205ADB" w:rsidRDefault="00205ADB" w:rsidP="001E2483">
            <w:pPr>
              <w:ind w:firstLine="0"/>
            </w:pPr>
            <w:r w:rsidRPr="00205ADB">
              <w:t>1</w:t>
            </w:r>
          </w:p>
        </w:tc>
        <w:tc>
          <w:tcPr>
            <w:tcW w:w="3120" w:type="dxa"/>
          </w:tcPr>
          <w:p w14:paraId="2AF941E1" w14:textId="52CE9300" w:rsidR="00205ADB" w:rsidRPr="00205ADB" w:rsidRDefault="00205ADB" w:rsidP="001E2483">
            <w:pPr>
              <w:ind w:firstLine="0"/>
            </w:pPr>
            <w:r w:rsidRPr="00205ADB">
              <w:t>2.0</w:t>
            </w:r>
          </w:p>
        </w:tc>
      </w:tr>
      <w:tr w:rsidR="00205ADB" w14:paraId="66BB1914" w14:textId="77777777" w:rsidTr="00205ADB">
        <w:tc>
          <w:tcPr>
            <w:tcW w:w="3120" w:type="dxa"/>
          </w:tcPr>
          <w:p w14:paraId="595331CD" w14:textId="73405C6D" w:rsidR="00205ADB" w:rsidRDefault="00205ADB" w:rsidP="001E2483">
            <w:pPr>
              <w:ind w:firstLine="0"/>
              <w:rPr>
                <w:b/>
                <w:bCs/>
              </w:rPr>
            </w:pPr>
            <w:r>
              <w:rPr>
                <w:b/>
                <w:bCs/>
              </w:rPr>
              <w:t>Total</w:t>
            </w:r>
          </w:p>
        </w:tc>
        <w:tc>
          <w:tcPr>
            <w:tcW w:w="3120" w:type="dxa"/>
          </w:tcPr>
          <w:p w14:paraId="67AA61C8" w14:textId="03658029" w:rsidR="00205ADB" w:rsidRDefault="00205ADB" w:rsidP="001E2483">
            <w:pPr>
              <w:ind w:firstLine="0"/>
              <w:rPr>
                <w:b/>
                <w:bCs/>
              </w:rPr>
            </w:pPr>
            <w:r>
              <w:rPr>
                <w:b/>
                <w:bCs/>
              </w:rPr>
              <w:t>49</w:t>
            </w:r>
          </w:p>
        </w:tc>
        <w:tc>
          <w:tcPr>
            <w:tcW w:w="3120" w:type="dxa"/>
          </w:tcPr>
          <w:p w14:paraId="0E762D78" w14:textId="7D6C87E4" w:rsidR="00205ADB" w:rsidRDefault="00205ADB" w:rsidP="001E2483">
            <w:pPr>
              <w:ind w:firstLine="0"/>
              <w:rPr>
                <w:b/>
                <w:bCs/>
              </w:rPr>
            </w:pPr>
            <w:r>
              <w:rPr>
                <w:b/>
                <w:bCs/>
              </w:rPr>
              <w:t>100</w:t>
            </w:r>
          </w:p>
        </w:tc>
      </w:tr>
    </w:tbl>
    <w:p w14:paraId="25E41585" w14:textId="77777777" w:rsidR="00205ADB" w:rsidRPr="006F2059" w:rsidRDefault="00205ADB" w:rsidP="001E2483">
      <w:pPr>
        <w:ind w:firstLine="0"/>
        <w:rPr>
          <w:b/>
          <w:bCs/>
        </w:rPr>
      </w:pPr>
    </w:p>
    <w:tbl>
      <w:tblPr>
        <w:tblStyle w:val="GridTable1Light"/>
        <w:tblW w:w="9355" w:type="dxa"/>
        <w:tblLook w:val="04A0" w:firstRow="1" w:lastRow="0" w:firstColumn="1" w:lastColumn="0" w:noHBand="0" w:noVBand="1"/>
      </w:tblPr>
      <w:tblGrid>
        <w:gridCol w:w="3145"/>
        <w:gridCol w:w="3060"/>
        <w:gridCol w:w="3150"/>
      </w:tblGrid>
      <w:tr w:rsidR="001E2483" w14:paraId="07B335E5"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B40325A" w14:textId="77777777" w:rsidR="001E2483" w:rsidRPr="006F2059" w:rsidRDefault="001E2483" w:rsidP="00367A73">
            <w:pPr>
              <w:ind w:firstLine="0"/>
            </w:pPr>
            <w:r>
              <w:t>Sex:</w:t>
            </w:r>
          </w:p>
        </w:tc>
        <w:tc>
          <w:tcPr>
            <w:tcW w:w="3060" w:type="dxa"/>
          </w:tcPr>
          <w:p w14:paraId="48D87C1D" w14:textId="77777777" w:rsidR="001E2483" w:rsidRPr="001058D1" w:rsidRDefault="001E2483" w:rsidP="00367A73">
            <w:pPr>
              <w:ind w:firstLine="0"/>
              <w:cnfStyle w:val="100000000000" w:firstRow="1" w:lastRow="0" w:firstColumn="0" w:lastColumn="0" w:oddVBand="0" w:evenVBand="0" w:oddHBand="0" w:evenHBand="0" w:firstRowFirstColumn="0" w:firstRowLastColumn="0" w:lastRowFirstColumn="0" w:lastRowLastColumn="0"/>
            </w:pPr>
            <w:r w:rsidRPr="001058D1">
              <w:t>Total</w:t>
            </w:r>
          </w:p>
        </w:tc>
        <w:tc>
          <w:tcPr>
            <w:tcW w:w="3150" w:type="dxa"/>
          </w:tcPr>
          <w:p w14:paraId="341E4113" w14:textId="77777777" w:rsidR="001E2483" w:rsidRPr="001058D1"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46CBA7FA" w14:textId="77777777" w:rsidTr="00367A73">
        <w:tc>
          <w:tcPr>
            <w:cnfStyle w:val="001000000000" w:firstRow="0" w:lastRow="0" w:firstColumn="1" w:lastColumn="0" w:oddVBand="0" w:evenVBand="0" w:oddHBand="0" w:evenHBand="0" w:firstRowFirstColumn="0" w:firstRowLastColumn="0" w:lastRowFirstColumn="0" w:lastRowLastColumn="0"/>
            <w:tcW w:w="3145" w:type="dxa"/>
          </w:tcPr>
          <w:p w14:paraId="01274A51" w14:textId="77777777" w:rsidR="001E2483" w:rsidRDefault="001E2483" w:rsidP="00367A73">
            <w:pPr>
              <w:ind w:firstLine="0"/>
              <w:rPr>
                <w:b w:val="0"/>
                <w:bCs w:val="0"/>
              </w:rPr>
            </w:pPr>
            <w:r>
              <w:rPr>
                <w:b w:val="0"/>
                <w:bCs w:val="0"/>
              </w:rPr>
              <w:t>Male</w:t>
            </w:r>
          </w:p>
        </w:tc>
        <w:tc>
          <w:tcPr>
            <w:tcW w:w="3060" w:type="dxa"/>
          </w:tcPr>
          <w:p w14:paraId="5B5ABAC6" w14:textId="77777777" w:rsidR="001E2483" w:rsidRPr="006F2059"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c>
          <w:tcPr>
            <w:tcW w:w="3150" w:type="dxa"/>
          </w:tcPr>
          <w:p w14:paraId="42BC245C"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r>
      <w:tr w:rsidR="001E2483" w14:paraId="6D15421F" w14:textId="77777777" w:rsidTr="00367A73">
        <w:tc>
          <w:tcPr>
            <w:cnfStyle w:val="001000000000" w:firstRow="0" w:lastRow="0" w:firstColumn="1" w:lastColumn="0" w:oddVBand="0" w:evenVBand="0" w:oddHBand="0" w:evenHBand="0" w:firstRowFirstColumn="0" w:firstRowLastColumn="0" w:lastRowFirstColumn="0" w:lastRowLastColumn="0"/>
            <w:tcW w:w="3145" w:type="dxa"/>
          </w:tcPr>
          <w:p w14:paraId="0DF7F166" w14:textId="77777777" w:rsidR="001E2483" w:rsidRDefault="001E2483" w:rsidP="00367A73">
            <w:pPr>
              <w:ind w:firstLine="0"/>
              <w:rPr>
                <w:b w:val="0"/>
                <w:bCs w:val="0"/>
              </w:rPr>
            </w:pPr>
            <w:r>
              <w:rPr>
                <w:b w:val="0"/>
                <w:bCs w:val="0"/>
              </w:rPr>
              <w:t>Female</w:t>
            </w:r>
          </w:p>
        </w:tc>
        <w:tc>
          <w:tcPr>
            <w:tcW w:w="3060" w:type="dxa"/>
          </w:tcPr>
          <w:p w14:paraId="7BF485C8" w14:textId="0C5AB77B" w:rsidR="001E2483" w:rsidRPr="006F2059" w:rsidRDefault="00205ADB" w:rsidP="00367A73">
            <w:pPr>
              <w:ind w:firstLine="0"/>
              <w:cnfStyle w:val="000000000000" w:firstRow="0" w:lastRow="0" w:firstColumn="0" w:lastColumn="0" w:oddVBand="0" w:evenVBand="0" w:oddHBand="0" w:evenHBand="0" w:firstRowFirstColumn="0" w:firstRowLastColumn="0" w:lastRowFirstColumn="0" w:lastRowLastColumn="0"/>
            </w:pPr>
            <w:r>
              <w:t>48</w:t>
            </w:r>
          </w:p>
        </w:tc>
        <w:tc>
          <w:tcPr>
            <w:tcW w:w="3150" w:type="dxa"/>
          </w:tcPr>
          <w:p w14:paraId="6EBD3E8B" w14:textId="4924E6AE"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98.</w:t>
            </w:r>
            <w:r w:rsidR="00205ADB">
              <w:t>0</w:t>
            </w:r>
          </w:p>
        </w:tc>
      </w:tr>
      <w:tr w:rsidR="001E2483" w14:paraId="31A028E6" w14:textId="77777777" w:rsidTr="00367A73">
        <w:tc>
          <w:tcPr>
            <w:cnfStyle w:val="001000000000" w:firstRow="0" w:lastRow="0" w:firstColumn="1" w:lastColumn="0" w:oddVBand="0" w:evenVBand="0" w:oddHBand="0" w:evenHBand="0" w:firstRowFirstColumn="0" w:firstRowLastColumn="0" w:lastRowFirstColumn="0" w:lastRowLastColumn="0"/>
            <w:tcW w:w="3145" w:type="dxa"/>
          </w:tcPr>
          <w:p w14:paraId="63968131" w14:textId="77777777" w:rsidR="001E2483" w:rsidRDefault="001E2483" w:rsidP="00367A73">
            <w:pPr>
              <w:ind w:firstLine="0"/>
              <w:rPr>
                <w:b w:val="0"/>
                <w:bCs w:val="0"/>
              </w:rPr>
            </w:pPr>
            <w:r>
              <w:rPr>
                <w:b w:val="0"/>
                <w:bCs w:val="0"/>
              </w:rPr>
              <w:t>Unknown</w:t>
            </w:r>
          </w:p>
        </w:tc>
        <w:tc>
          <w:tcPr>
            <w:tcW w:w="3060" w:type="dxa"/>
          </w:tcPr>
          <w:p w14:paraId="1FE71E3A" w14:textId="77777777" w:rsidR="001E2483" w:rsidRPr="006F2059"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6F2059">
              <w:t>1</w:t>
            </w:r>
          </w:p>
        </w:tc>
        <w:tc>
          <w:tcPr>
            <w:tcW w:w="3150" w:type="dxa"/>
          </w:tcPr>
          <w:p w14:paraId="007F605B" w14:textId="229F9D77"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2.0</w:t>
            </w:r>
          </w:p>
        </w:tc>
      </w:tr>
      <w:tr w:rsidR="001E2483" w14:paraId="7092C48A" w14:textId="77777777" w:rsidTr="00367A73">
        <w:tc>
          <w:tcPr>
            <w:cnfStyle w:val="001000000000" w:firstRow="0" w:lastRow="0" w:firstColumn="1" w:lastColumn="0" w:oddVBand="0" w:evenVBand="0" w:oddHBand="0" w:evenHBand="0" w:firstRowFirstColumn="0" w:firstRowLastColumn="0" w:lastRowFirstColumn="0" w:lastRowLastColumn="0"/>
            <w:tcW w:w="3145" w:type="dxa"/>
          </w:tcPr>
          <w:p w14:paraId="684DCEFA" w14:textId="77777777" w:rsidR="001E2483" w:rsidRPr="00CA139B" w:rsidRDefault="001E2483" w:rsidP="00367A73">
            <w:pPr>
              <w:ind w:firstLine="0"/>
            </w:pPr>
            <w:r w:rsidRPr="00CA139B">
              <w:t>Total:</w:t>
            </w:r>
          </w:p>
        </w:tc>
        <w:tc>
          <w:tcPr>
            <w:tcW w:w="3060" w:type="dxa"/>
          </w:tcPr>
          <w:p w14:paraId="0C0A46D8" w14:textId="0B428449"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50" w:type="dxa"/>
          </w:tcPr>
          <w:p w14:paraId="014C8B90"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498AC8EF" w14:textId="77777777" w:rsidR="001E2483" w:rsidRDefault="001E2483" w:rsidP="001E2483">
      <w:pPr>
        <w:ind w:firstLine="0"/>
        <w:rPr>
          <w:b/>
          <w:bCs/>
        </w:rPr>
      </w:pPr>
    </w:p>
    <w:tbl>
      <w:tblPr>
        <w:tblStyle w:val="GridTable1Light"/>
        <w:tblW w:w="0" w:type="auto"/>
        <w:tblLook w:val="04A0" w:firstRow="1" w:lastRow="0" w:firstColumn="1" w:lastColumn="0" w:noHBand="0" w:noVBand="1"/>
      </w:tblPr>
      <w:tblGrid>
        <w:gridCol w:w="3118"/>
        <w:gridCol w:w="3116"/>
        <w:gridCol w:w="3116"/>
      </w:tblGrid>
      <w:tr w:rsidR="001E2483" w14:paraId="4672BE0C"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C4B664B" w14:textId="77777777" w:rsidR="001E2483" w:rsidRPr="001058D1" w:rsidRDefault="001E2483" w:rsidP="00367A73">
            <w:pPr>
              <w:ind w:firstLine="0"/>
            </w:pPr>
            <w:r w:rsidRPr="001058D1">
              <w:t>Level of Education</w:t>
            </w:r>
          </w:p>
        </w:tc>
        <w:tc>
          <w:tcPr>
            <w:tcW w:w="3120" w:type="dxa"/>
          </w:tcPr>
          <w:p w14:paraId="23A0338C" w14:textId="77777777" w:rsidR="001E2483" w:rsidRPr="001058D1" w:rsidRDefault="001E2483" w:rsidP="00367A73">
            <w:pPr>
              <w:ind w:firstLine="0"/>
              <w:cnfStyle w:val="100000000000" w:firstRow="1" w:lastRow="0" w:firstColumn="0" w:lastColumn="0" w:oddVBand="0" w:evenVBand="0" w:oddHBand="0" w:evenHBand="0" w:firstRowFirstColumn="0" w:firstRowLastColumn="0" w:lastRowFirstColumn="0" w:lastRowLastColumn="0"/>
            </w:pPr>
            <w:r w:rsidRPr="001058D1">
              <w:t>Total</w:t>
            </w:r>
          </w:p>
        </w:tc>
        <w:tc>
          <w:tcPr>
            <w:tcW w:w="3120" w:type="dxa"/>
          </w:tcPr>
          <w:p w14:paraId="53E655B4" w14:textId="77777777" w:rsidR="001E2483" w:rsidRPr="001058D1" w:rsidRDefault="001E2483" w:rsidP="00367A73">
            <w:pPr>
              <w:ind w:firstLine="0"/>
              <w:cnfStyle w:val="100000000000" w:firstRow="1" w:lastRow="0" w:firstColumn="0" w:lastColumn="0" w:oddVBand="0" w:evenVBand="0" w:oddHBand="0" w:evenHBand="0" w:firstRowFirstColumn="0" w:firstRowLastColumn="0" w:lastRowFirstColumn="0" w:lastRowLastColumn="0"/>
            </w:pPr>
            <w:r w:rsidRPr="001058D1">
              <w:t>Percent</w:t>
            </w:r>
          </w:p>
        </w:tc>
      </w:tr>
      <w:tr w:rsidR="001E2483" w14:paraId="5BAB6534"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3AF19C2A" w14:textId="77777777" w:rsidR="001E2483" w:rsidRDefault="001E2483" w:rsidP="00367A73">
            <w:pPr>
              <w:ind w:firstLine="0"/>
              <w:rPr>
                <w:b w:val="0"/>
                <w:bCs w:val="0"/>
              </w:rPr>
            </w:pPr>
            <w:r>
              <w:rPr>
                <w:b w:val="0"/>
                <w:bCs w:val="0"/>
              </w:rPr>
              <w:t>High School</w:t>
            </w:r>
          </w:p>
        </w:tc>
        <w:tc>
          <w:tcPr>
            <w:tcW w:w="3120" w:type="dxa"/>
          </w:tcPr>
          <w:p w14:paraId="6200CDE0" w14:textId="6D1ABB07"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18</w:t>
            </w:r>
          </w:p>
        </w:tc>
        <w:tc>
          <w:tcPr>
            <w:tcW w:w="3120" w:type="dxa"/>
          </w:tcPr>
          <w:p w14:paraId="53E6E350" w14:textId="5334E868"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36.7</w:t>
            </w:r>
          </w:p>
        </w:tc>
      </w:tr>
      <w:tr w:rsidR="001E2483" w14:paraId="494C7D0C"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956605E" w14:textId="77777777" w:rsidR="001E2483" w:rsidRDefault="001E2483" w:rsidP="00367A73">
            <w:pPr>
              <w:ind w:firstLine="0"/>
              <w:rPr>
                <w:b w:val="0"/>
                <w:bCs w:val="0"/>
              </w:rPr>
            </w:pPr>
            <w:r>
              <w:rPr>
                <w:b w:val="0"/>
                <w:bCs w:val="0"/>
              </w:rPr>
              <w:t>Some College</w:t>
            </w:r>
          </w:p>
        </w:tc>
        <w:tc>
          <w:tcPr>
            <w:tcW w:w="3120" w:type="dxa"/>
          </w:tcPr>
          <w:p w14:paraId="61BBE63D" w14:textId="6B381842"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1058D1">
              <w:t>2</w:t>
            </w:r>
            <w:r w:rsidR="00205ADB">
              <w:t>4</w:t>
            </w:r>
          </w:p>
        </w:tc>
        <w:tc>
          <w:tcPr>
            <w:tcW w:w="3120" w:type="dxa"/>
          </w:tcPr>
          <w:p w14:paraId="007CA82D" w14:textId="14536283"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1058D1">
              <w:t>4</w:t>
            </w:r>
            <w:r w:rsidR="00205ADB">
              <w:t>9.0</w:t>
            </w:r>
          </w:p>
        </w:tc>
      </w:tr>
      <w:tr w:rsidR="001E2483" w14:paraId="2DC11F19"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1665FFC4" w14:textId="77777777" w:rsidR="001E2483" w:rsidRDefault="001E2483" w:rsidP="00367A73">
            <w:pPr>
              <w:ind w:firstLine="0"/>
              <w:rPr>
                <w:b w:val="0"/>
                <w:bCs w:val="0"/>
              </w:rPr>
            </w:pPr>
            <w:r>
              <w:rPr>
                <w:b w:val="0"/>
                <w:bCs w:val="0"/>
              </w:rPr>
              <w:t>Undergraduate Degree</w:t>
            </w:r>
          </w:p>
        </w:tc>
        <w:tc>
          <w:tcPr>
            <w:tcW w:w="3120" w:type="dxa"/>
          </w:tcPr>
          <w:p w14:paraId="6211CF4D"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7</w:t>
            </w:r>
          </w:p>
        </w:tc>
        <w:tc>
          <w:tcPr>
            <w:tcW w:w="3120" w:type="dxa"/>
          </w:tcPr>
          <w:p w14:paraId="604AB9A7" w14:textId="13D10EDD"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1058D1">
              <w:t>1</w:t>
            </w:r>
            <w:r w:rsidR="00205ADB">
              <w:t>4.3</w:t>
            </w:r>
          </w:p>
        </w:tc>
      </w:tr>
      <w:tr w:rsidR="001E2483" w14:paraId="1C49DB11"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64D2DD58" w14:textId="77777777" w:rsidR="001E2483" w:rsidRPr="00CA139B" w:rsidRDefault="001E2483" w:rsidP="00367A73">
            <w:pPr>
              <w:ind w:firstLine="0"/>
            </w:pPr>
            <w:r w:rsidRPr="00CA139B">
              <w:t>Total</w:t>
            </w:r>
          </w:p>
        </w:tc>
        <w:tc>
          <w:tcPr>
            <w:tcW w:w="3120" w:type="dxa"/>
          </w:tcPr>
          <w:p w14:paraId="08825BF4" w14:textId="272BD134"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0C0E5119"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100</w:t>
            </w:r>
          </w:p>
        </w:tc>
      </w:tr>
    </w:tbl>
    <w:p w14:paraId="5865CA61" w14:textId="77777777" w:rsidR="001E2483" w:rsidRDefault="001E2483" w:rsidP="001E2483">
      <w:pPr>
        <w:ind w:firstLine="0"/>
        <w:rPr>
          <w:b/>
          <w:bCs/>
        </w:rPr>
      </w:pPr>
    </w:p>
    <w:tbl>
      <w:tblPr>
        <w:tblStyle w:val="GridTable1Light"/>
        <w:tblW w:w="0" w:type="auto"/>
        <w:tblLook w:val="04A0" w:firstRow="1" w:lastRow="0" w:firstColumn="1" w:lastColumn="0" w:noHBand="0" w:noVBand="1"/>
      </w:tblPr>
      <w:tblGrid>
        <w:gridCol w:w="3118"/>
        <w:gridCol w:w="3116"/>
        <w:gridCol w:w="3116"/>
      </w:tblGrid>
      <w:tr w:rsidR="001E2483" w14:paraId="18274202"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411D5B6" w14:textId="77777777" w:rsidR="001E2483" w:rsidRPr="001058D1" w:rsidRDefault="001E2483" w:rsidP="00367A73">
            <w:pPr>
              <w:ind w:firstLine="0"/>
            </w:pPr>
            <w:r w:rsidRPr="001058D1">
              <w:t>Ethnicity</w:t>
            </w:r>
          </w:p>
        </w:tc>
        <w:tc>
          <w:tcPr>
            <w:tcW w:w="3120" w:type="dxa"/>
          </w:tcPr>
          <w:p w14:paraId="4B40853A" w14:textId="77777777" w:rsidR="001E2483" w:rsidRPr="001058D1" w:rsidRDefault="001E2483" w:rsidP="00367A73">
            <w:pPr>
              <w:ind w:firstLine="0"/>
              <w:cnfStyle w:val="100000000000" w:firstRow="1" w:lastRow="0" w:firstColumn="0" w:lastColumn="0" w:oddVBand="0" w:evenVBand="0" w:oddHBand="0" w:evenHBand="0" w:firstRowFirstColumn="0" w:firstRowLastColumn="0" w:lastRowFirstColumn="0" w:lastRowLastColumn="0"/>
            </w:pPr>
            <w:r w:rsidRPr="001058D1">
              <w:t>Total</w:t>
            </w:r>
          </w:p>
        </w:tc>
        <w:tc>
          <w:tcPr>
            <w:tcW w:w="3120" w:type="dxa"/>
          </w:tcPr>
          <w:p w14:paraId="0543E14F" w14:textId="77777777" w:rsidR="001E2483" w:rsidRPr="001058D1" w:rsidRDefault="001E2483" w:rsidP="00367A73">
            <w:pPr>
              <w:ind w:firstLine="0"/>
              <w:cnfStyle w:val="100000000000" w:firstRow="1" w:lastRow="0" w:firstColumn="0" w:lastColumn="0" w:oddVBand="0" w:evenVBand="0" w:oddHBand="0" w:evenHBand="0" w:firstRowFirstColumn="0" w:firstRowLastColumn="0" w:lastRowFirstColumn="0" w:lastRowLastColumn="0"/>
            </w:pPr>
            <w:r w:rsidRPr="001058D1">
              <w:t>Percent</w:t>
            </w:r>
          </w:p>
        </w:tc>
      </w:tr>
      <w:tr w:rsidR="001E2483" w14:paraId="10CE78FB"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351C03F2" w14:textId="77777777" w:rsidR="001E2483" w:rsidRPr="0045195D" w:rsidRDefault="001E2483" w:rsidP="00367A73">
            <w:pPr>
              <w:ind w:firstLine="0"/>
              <w:rPr>
                <w:b w:val="0"/>
                <w:bCs w:val="0"/>
              </w:rPr>
            </w:pPr>
            <w:r>
              <w:rPr>
                <w:b w:val="0"/>
                <w:bCs w:val="0"/>
              </w:rPr>
              <w:t>American Indian/Alaska Native</w:t>
            </w:r>
          </w:p>
        </w:tc>
        <w:tc>
          <w:tcPr>
            <w:tcW w:w="3120" w:type="dxa"/>
          </w:tcPr>
          <w:p w14:paraId="0ED01DC1"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c>
          <w:tcPr>
            <w:tcW w:w="3120" w:type="dxa"/>
          </w:tcPr>
          <w:p w14:paraId="6112297D"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r>
      <w:tr w:rsidR="001E2483" w14:paraId="63678FAC"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C03DD1E" w14:textId="77777777" w:rsidR="001E2483" w:rsidRDefault="001E2483" w:rsidP="00367A73">
            <w:pPr>
              <w:ind w:firstLine="0"/>
              <w:rPr>
                <w:b w:val="0"/>
                <w:bCs w:val="0"/>
              </w:rPr>
            </w:pPr>
            <w:r>
              <w:rPr>
                <w:b w:val="0"/>
                <w:bCs w:val="0"/>
              </w:rPr>
              <w:t>Asian</w:t>
            </w:r>
          </w:p>
        </w:tc>
        <w:tc>
          <w:tcPr>
            <w:tcW w:w="3120" w:type="dxa"/>
          </w:tcPr>
          <w:p w14:paraId="1B46C0FC"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7</w:t>
            </w:r>
          </w:p>
        </w:tc>
        <w:tc>
          <w:tcPr>
            <w:tcW w:w="3120" w:type="dxa"/>
          </w:tcPr>
          <w:p w14:paraId="04664B68" w14:textId="32C51E3A"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14.3</w:t>
            </w:r>
          </w:p>
        </w:tc>
      </w:tr>
      <w:tr w:rsidR="001E2483" w14:paraId="5920641C"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16FFB0D9" w14:textId="77777777" w:rsidR="001E2483" w:rsidRDefault="001E2483" w:rsidP="00367A73">
            <w:pPr>
              <w:ind w:firstLine="0"/>
              <w:rPr>
                <w:b w:val="0"/>
                <w:bCs w:val="0"/>
              </w:rPr>
            </w:pPr>
            <w:r>
              <w:rPr>
                <w:b w:val="0"/>
                <w:bCs w:val="0"/>
              </w:rPr>
              <w:t>Black/African American</w:t>
            </w:r>
          </w:p>
        </w:tc>
        <w:tc>
          <w:tcPr>
            <w:tcW w:w="3120" w:type="dxa"/>
          </w:tcPr>
          <w:p w14:paraId="6A3035DE"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2</w:t>
            </w:r>
          </w:p>
        </w:tc>
        <w:tc>
          <w:tcPr>
            <w:tcW w:w="3120" w:type="dxa"/>
          </w:tcPr>
          <w:p w14:paraId="568F78F6" w14:textId="6A41F0B8"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4.1</w:t>
            </w:r>
          </w:p>
        </w:tc>
      </w:tr>
      <w:tr w:rsidR="001E2483" w14:paraId="15FE03FF"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4AAD71D8" w14:textId="77777777" w:rsidR="001E2483" w:rsidRPr="0045195D" w:rsidRDefault="001E2483" w:rsidP="00367A73">
            <w:pPr>
              <w:ind w:firstLine="0"/>
              <w:rPr>
                <w:b w:val="0"/>
                <w:bCs w:val="0"/>
              </w:rPr>
            </w:pPr>
            <w:r>
              <w:rPr>
                <w:b w:val="0"/>
                <w:bCs w:val="0"/>
              </w:rPr>
              <w:t>Native Hawaiian/Other Pacific Islander</w:t>
            </w:r>
          </w:p>
        </w:tc>
        <w:tc>
          <w:tcPr>
            <w:tcW w:w="3120" w:type="dxa"/>
          </w:tcPr>
          <w:p w14:paraId="7AF545FB"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c>
          <w:tcPr>
            <w:tcW w:w="3120" w:type="dxa"/>
          </w:tcPr>
          <w:p w14:paraId="2E8A9835"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r>
      <w:tr w:rsidR="001E2483" w14:paraId="467D95B8"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4CEBFFD7" w14:textId="77777777" w:rsidR="001E2483" w:rsidRDefault="001E2483" w:rsidP="00367A73">
            <w:pPr>
              <w:ind w:firstLine="0"/>
              <w:rPr>
                <w:b w:val="0"/>
                <w:bCs w:val="0"/>
              </w:rPr>
            </w:pPr>
            <w:r>
              <w:rPr>
                <w:b w:val="0"/>
                <w:bCs w:val="0"/>
              </w:rPr>
              <w:t>White</w:t>
            </w:r>
          </w:p>
        </w:tc>
        <w:tc>
          <w:tcPr>
            <w:tcW w:w="3120" w:type="dxa"/>
          </w:tcPr>
          <w:p w14:paraId="14C2A969" w14:textId="450F9CD3"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39</w:t>
            </w:r>
          </w:p>
        </w:tc>
        <w:tc>
          <w:tcPr>
            <w:tcW w:w="3120" w:type="dxa"/>
          </w:tcPr>
          <w:p w14:paraId="0AE9CD81" w14:textId="5E2A4E95"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79.6</w:t>
            </w:r>
          </w:p>
        </w:tc>
      </w:tr>
      <w:tr w:rsidR="001E2483" w14:paraId="3519BC18"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AE59519" w14:textId="77777777" w:rsidR="001E2483" w:rsidRDefault="001E2483" w:rsidP="00367A73">
            <w:pPr>
              <w:ind w:firstLine="0"/>
              <w:rPr>
                <w:b w:val="0"/>
                <w:bCs w:val="0"/>
              </w:rPr>
            </w:pPr>
            <w:r>
              <w:rPr>
                <w:b w:val="0"/>
                <w:bCs w:val="0"/>
              </w:rPr>
              <w:t>Hispanic/Latino</w:t>
            </w:r>
          </w:p>
        </w:tc>
        <w:tc>
          <w:tcPr>
            <w:tcW w:w="3120" w:type="dxa"/>
          </w:tcPr>
          <w:p w14:paraId="3495D772" w14:textId="77777777" w:rsidR="001E2483" w:rsidRPr="001058D1"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1058D1">
              <w:t>1</w:t>
            </w:r>
          </w:p>
        </w:tc>
        <w:tc>
          <w:tcPr>
            <w:tcW w:w="3120" w:type="dxa"/>
          </w:tcPr>
          <w:p w14:paraId="7376F173" w14:textId="44C012A9" w:rsidR="001E2483" w:rsidRPr="001058D1" w:rsidRDefault="00205ADB" w:rsidP="00367A73">
            <w:pPr>
              <w:ind w:firstLine="0"/>
              <w:cnfStyle w:val="000000000000" w:firstRow="0" w:lastRow="0" w:firstColumn="0" w:lastColumn="0" w:oddVBand="0" w:evenVBand="0" w:oddHBand="0" w:evenHBand="0" w:firstRowFirstColumn="0" w:firstRowLastColumn="0" w:lastRowFirstColumn="0" w:lastRowLastColumn="0"/>
            </w:pPr>
            <w:r>
              <w:t>2.0</w:t>
            </w:r>
          </w:p>
        </w:tc>
      </w:tr>
      <w:tr w:rsidR="001E2483" w14:paraId="0E59FD5B"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3751AD2D" w14:textId="77777777" w:rsidR="001E2483" w:rsidRPr="00EA60A7" w:rsidRDefault="001E2483" w:rsidP="00367A73">
            <w:pPr>
              <w:ind w:firstLine="0"/>
            </w:pPr>
            <w:r w:rsidRPr="00EA60A7">
              <w:t>Total</w:t>
            </w:r>
          </w:p>
        </w:tc>
        <w:tc>
          <w:tcPr>
            <w:tcW w:w="3120" w:type="dxa"/>
          </w:tcPr>
          <w:p w14:paraId="536D63A0" w14:textId="2CF61AC3" w:rsidR="001E2483" w:rsidRPr="00EA60A7" w:rsidRDefault="00205ADB"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2693C785"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2D593CD7" w14:textId="77777777" w:rsidR="001E2483" w:rsidRDefault="001E2483" w:rsidP="001E2483">
      <w:pPr>
        <w:ind w:firstLine="0"/>
      </w:pPr>
    </w:p>
    <w:tbl>
      <w:tblPr>
        <w:tblStyle w:val="GridTable1Light"/>
        <w:tblW w:w="0" w:type="auto"/>
        <w:tblLook w:val="04A0" w:firstRow="1" w:lastRow="0" w:firstColumn="1" w:lastColumn="0" w:noHBand="0" w:noVBand="1"/>
      </w:tblPr>
      <w:tblGrid>
        <w:gridCol w:w="3118"/>
        <w:gridCol w:w="3116"/>
        <w:gridCol w:w="3116"/>
      </w:tblGrid>
      <w:tr w:rsidR="001E2483" w14:paraId="2DC30343"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37FC119" w14:textId="77777777" w:rsidR="001E2483" w:rsidRDefault="001E2483" w:rsidP="00367A73">
            <w:pPr>
              <w:ind w:firstLine="0"/>
            </w:pPr>
            <w:r>
              <w:t>Race</w:t>
            </w:r>
          </w:p>
        </w:tc>
        <w:tc>
          <w:tcPr>
            <w:tcW w:w="3120" w:type="dxa"/>
          </w:tcPr>
          <w:p w14:paraId="671FB060"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45BE39FA"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015800DE"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D60FA35" w14:textId="77777777" w:rsidR="001E2483" w:rsidRPr="002B68FC" w:rsidRDefault="001E2483" w:rsidP="00367A73">
            <w:pPr>
              <w:ind w:firstLine="0"/>
              <w:rPr>
                <w:b w:val="0"/>
                <w:bCs w:val="0"/>
              </w:rPr>
            </w:pPr>
            <w:r w:rsidRPr="002B68FC">
              <w:rPr>
                <w:b w:val="0"/>
                <w:bCs w:val="0"/>
              </w:rPr>
              <w:lastRenderedPageBreak/>
              <w:t>White</w:t>
            </w:r>
          </w:p>
        </w:tc>
        <w:tc>
          <w:tcPr>
            <w:tcW w:w="3120" w:type="dxa"/>
          </w:tcPr>
          <w:p w14:paraId="7C6B8710" w14:textId="17C50FB8"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4</w:t>
            </w:r>
            <w:r w:rsidR="00205ADB">
              <w:t>2</w:t>
            </w:r>
          </w:p>
        </w:tc>
        <w:tc>
          <w:tcPr>
            <w:tcW w:w="3120" w:type="dxa"/>
          </w:tcPr>
          <w:p w14:paraId="4429596A" w14:textId="014C8082"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8</w:t>
            </w:r>
            <w:r w:rsidR="00205ADB">
              <w:t>5.7</w:t>
            </w:r>
          </w:p>
        </w:tc>
      </w:tr>
      <w:tr w:rsidR="001E2483" w14:paraId="27556E4B"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825F175" w14:textId="77777777" w:rsidR="001E2483" w:rsidRPr="002B68FC" w:rsidRDefault="001E2483" w:rsidP="00367A73">
            <w:pPr>
              <w:ind w:firstLine="0"/>
              <w:rPr>
                <w:b w:val="0"/>
                <w:bCs w:val="0"/>
              </w:rPr>
            </w:pPr>
            <w:r w:rsidRPr="002B68FC">
              <w:rPr>
                <w:b w:val="0"/>
                <w:bCs w:val="0"/>
              </w:rPr>
              <w:t>Black/African American</w:t>
            </w:r>
          </w:p>
        </w:tc>
        <w:tc>
          <w:tcPr>
            <w:tcW w:w="3120" w:type="dxa"/>
          </w:tcPr>
          <w:p w14:paraId="52ACE0CF"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2</w:t>
            </w:r>
          </w:p>
        </w:tc>
        <w:tc>
          <w:tcPr>
            <w:tcW w:w="3120" w:type="dxa"/>
          </w:tcPr>
          <w:p w14:paraId="4D39393B" w14:textId="081E15F3"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4.1</w:t>
            </w:r>
          </w:p>
        </w:tc>
      </w:tr>
      <w:tr w:rsidR="001E2483" w14:paraId="5A2CFC54"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1374EF44" w14:textId="77777777" w:rsidR="001E2483" w:rsidRPr="0045195D" w:rsidRDefault="001E2483" w:rsidP="00367A73">
            <w:pPr>
              <w:ind w:firstLine="0"/>
              <w:rPr>
                <w:b w:val="0"/>
                <w:bCs w:val="0"/>
              </w:rPr>
            </w:pPr>
            <w:r>
              <w:rPr>
                <w:b w:val="0"/>
                <w:bCs w:val="0"/>
              </w:rPr>
              <w:t>American Indian/Alaska Native</w:t>
            </w:r>
          </w:p>
        </w:tc>
        <w:tc>
          <w:tcPr>
            <w:tcW w:w="3120" w:type="dxa"/>
          </w:tcPr>
          <w:p w14:paraId="080BCA24"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c>
          <w:tcPr>
            <w:tcW w:w="3120" w:type="dxa"/>
          </w:tcPr>
          <w:p w14:paraId="475670AA" w14:textId="4B080285"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r w:rsidR="00205ADB">
              <w:t>.0</w:t>
            </w:r>
          </w:p>
        </w:tc>
      </w:tr>
      <w:tr w:rsidR="001E2483" w14:paraId="703532D0"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0AD902CD" w14:textId="77777777" w:rsidR="001E2483" w:rsidRPr="002B68FC" w:rsidRDefault="001E2483" w:rsidP="00367A73">
            <w:pPr>
              <w:ind w:firstLine="0"/>
              <w:rPr>
                <w:b w:val="0"/>
                <w:bCs w:val="0"/>
              </w:rPr>
            </w:pPr>
            <w:r w:rsidRPr="002B68FC">
              <w:rPr>
                <w:b w:val="0"/>
                <w:bCs w:val="0"/>
              </w:rPr>
              <w:t>Asian</w:t>
            </w:r>
          </w:p>
        </w:tc>
        <w:tc>
          <w:tcPr>
            <w:tcW w:w="3120" w:type="dxa"/>
          </w:tcPr>
          <w:p w14:paraId="424D359C"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5</w:t>
            </w:r>
          </w:p>
        </w:tc>
        <w:tc>
          <w:tcPr>
            <w:tcW w:w="3120" w:type="dxa"/>
          </w:tcPr>
          <w:p w14:paraId="270E71EC" w14:textId="43089FD9"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10.2</w:t>
            </w:r>
          </w:p>
        </w:tc>
      </w:tr>
      <w:tr w:rsidR="001E2483" w14:paraId="19A77727"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43EB4BB9" w14:textId="77777777" w:rsidR="001E2483" w:rsidRPr="0045195D" w:rsidRDefault="001E2483" w:rsidP="00367A73">
            <w:pPr>
              <w:ind w:firstLine="0"/>
              <w:rPr>
                <w:b w:val="0"/>
                <w:bCs w:val="0"/>
              </w:rPr>
            </w:pPr>
            <w:r>
              <w:rPr>
                <w:b w:val="0"/>
                <w:bCs w:val="0"/>
              </w:rPr>
              <w:t>Native Hawaiian/Pacific Islander</w:t>
            </w:r>
          </w:p>
        </w:tc>
        <w:tc>
          <w:tcPr>
            <w:tcW w:w="3120" w:type="dxa"/>
          </w:tcPr>
          <w:p w14:paraId="34C4E348" w14:textId="77777777" w:rsidR="001E2483" w:rsidRPr="0045195D"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c>
          <w:tcPr>
            <w:tcW w:w="3120" w:type="dxa"/>
          </w:tcPr>
          <w:p w14:paraId="00500A4A" w14:textId="271E0B4C" w:rsidR="001E2483" w:rsidRPr="0045195D"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45195D">
              <w:t>0</w:t>
            </w:r>
            <w:r w:rsidR="00205ADB">
              <w:t>.0</w:t>
            </w:r>
          </w:p>
        </w:tc>
      </w:tr>
      <w:tr w:rsidR="001E2483" w14:paraId="1BD47773"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4892C479" w14:textId="77777777" w:rsidR="001E2483" w:rsidRPr="00EA60A7" w:rsidRDefault="001E2483" w:rsidP="00367A73">
            <w:pPr>
              <w:ind w:firstLine="0"/>
            </w:pPr>
            <w:r w:rsidRPr="00EA60A7">
              <w:t>Total</w:t>
            </w:r>
          </w:p>
        </w:tc>
        <w:tc>
          <w:tcPr>
            <w:tcW w:w="3120" w:type="dxa"/>
          </w:tcPr>
          <w:p w14:paraId="41882BBB" w14:textId="3942A862" w:rsidR="001E2483" w:rsidRPr="00EA60A7" w:rsidRDefault="00205ADB"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200285D1"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647BD887" w14:textId="77777777" w:rsidR="001E2483"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68052C6B"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E2E8D07" w14:textId="77777777" w:rsidR="001E2483" w:rsidRDefault="001E2483" w:rsidP="00367A73">
            <w:pPr>
              <w:ind w:firstLine="0"/>
            </w:pPr>
            <w:r>
              <w:t>Residence</w:t>
            </w:r>
          </w:p>
        </w:tc>
        <w:tc>
          <w:tcPr>
            <w:tcW w:w="3120" w:type="dxa"/>
          </w:tcPr>
          <w:p w14:paraId="5AE54B83"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298ED81A"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4A5AD3CA"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985EFF2" w14:textId="1BC81DC4" w:rsidR="001E2483" w:rsidRPr="002B68FC" w:rsidRDefault="001E2483" w:rsidP="00367A73">
            <w:pPr>
              <w:ind w:firstLine="0"/>
              <w:rPr>
                <w:b w:val="0"/>
                <w:bCs w:val="0"/>
              </w:rPr>
            </w:pPr>
            <w:r w:rsidRPr="002B68FC">
              <w:rPr>
                <w:b w:val="0"/>
                <w:bCs w:val="0"/>
              </w:rPr>
              <w:t>Off</w:t>
            </w:r>
            <w:r w:rsidR="00F31585">
              <w:rPr>
                <w:b w:val="0"/>
                <w:bCs w:val="0"/>
              </w:rPr>
              <w:t>-</w:t>
            </w:r>
            <w:r w:rsidRPr="002B68FC">
              <w:rPr>
                <w:b w:val="0"/>
                <w:bCs w:val="0"/>
              </w:rPr>
              <w:t>Campus</w:t>
            </w:r>
          </w:p>
        </w:tc>
        <w:tc>
          <w:tcPr>
            <w:tcW w:w="3120" w:type="dxa"/>
          </w:tcPr>
          <w:p w14:paraId="1252E00C" w14:textId="21BEE6D8"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1</w:t>
            </w:r>
            <w:r w:rsidR="00205ADB">
              <w:t>6</w:t>
            </w:r>
          </w:p>
        </w:tc>
        <w:tc>
          <w:tcPr>
            <w:tcW w:w="3120" w:type="dxa"/>
          </w:tcPr>
          <w:p w14:paraId="1069EAA1" w14:textId="193D6343"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32.7</w:t>
            </w:r>
          </w:p>
        </w:tc>
      </w:tr>
      <w:tr w:rsidR="001E2483" w14:paraId="02BAF8A7"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197BDA28" w14:textId="6D37FF1E" w:rsidR="001E2483" w:rsidRPr="002B68FC" w:rsidRDefault="001E2483" w:rsidP="00367A73">
            <w:pPr>
              <w:ind w:firstLine="0"/>
              <w:rPr>
                <w:b w:val="0"/>
                <w:bCs w:val="0"/>
              </w:rPr>
            </w:pPr>
            <w:r w:rsidRPr="002B68FC">
              <w:rPr>
                <w:b w:val="0"/>
                <w:bCs w:val="0"/>
              </w:rPr>
              <w:t>On</w:t>
            </w:r>
            <w:r w:rsidR="00F31585">
              <w:rPr>
                <w:b w:val="0"/>
                <w:bCs w:val="0"/>
              </w:rPr>
              <w:t>-</w:t>
            </w:r>
            <w:r w:rsidRPr="002B68FC">
              <w:rPr>
                <w:b w:val="0"/>
                <w:bCs w:val="0"/>
              </w:rPr>
              <w:t>Campus</w:t>
            </w:r>
          </w:p>
        </w:tc>
        <w:tc>
          <w:tcPr>
            <w:tcW w:w="3120" w:type="dxa"/>
          </w:tcPr>
          <w:p w14:paraId="3F6CE7FB" w14:textId="395FE669"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31</w:t>
            </w:r>
          </w:p>
        </w:tc>
        <w:tc>
          <w:tcPr>
            <w:tcW w:w="3120" w:type="dxa"/>
          </w:tcPr>
          <w:p w14:paraId="500C4B8B" w14:textId="27F36A0C"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63.3</w:t>
            </w:r>
          </w:p>
        </w:tc>
      </w:tr>
      <w:tr w:rsidR="001E2483" w14:paraId="627F2CEC"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9E1DA62" w14:textId="77777777" w:rsidR="001E2483" w:rsidRPr="002B68FC" w:rsidRDefault="001E2483" w:rsidP="00367A73">
            <w:pPr>
              <w:ind w:firstLine="0"/>
              <w:rPr>
                <w:b w:val="0"/>
                <w:bCs w:val="0"/>
              </w:rPr>
            </w:pPr>
            <w:r w:rsidRPr="002B68FC">
              <w:rPr>
                <w:b w:val="0"/>
                <w:bCs w:val="0"/>
              </w:rPr>
              <w:t>With Parents</w:t>
            </w:r>
          </w:p>
        </w:tc>
        <w:tc>
          <w:tcPr>
            <w:tcW w:w="3120" w:type="dxa"/>
          </w:tcPr>
          <w:p w14:paraId="4883D8E4" w14:textId="438AF3CC"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2</w:t>
            </w:r>
          </w:p>
        </w:tc>
        <w:tc>
          <w:tcPr>
            <w:tcW w:w="3120" w:type="dxa"/>
          </w:tcPr>
          <w:p w14:paraId="052473E8" w14:textId="4039686E" w:rsidR="001E2483" w:rsidRDefault="00205ADB" w:rsidP="00367A73">
            <w:pPr>
              <w:ind w:firstLine="0"/>
              <w:cnfStyle w:val="000000000000" w:firstRow="0" w:lastRow="0" w:firstColumn="0" w:lastColumn="0" w:oddVBand="0" w:evenVBand="0" w:oddHBand="0" w:evenHBand="0" w:firstRowFirstColumn="0" w:firstRowLastColumn="0" w:lastRowFirstColumn="0" w:lastRowLastColumn="0"/>
            </w:pPr>
            <w:r>
              <w:t>4.1</w:t>
            </w:r>
          </w:p>
        </w:tc>
      </w:tr>
      <w:tr w:rsidR="001E2483" w14:paraId="7C2E5F42"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43EB48EE" w14:textId="77777777" w:rsidR="001E2483" w:rsidRPr="00EA60A7" w:rsidRDefault="001E2483" w:rsidP="00367A73">
            <w:pPr>
              <w:ind w:firstLine="0"/>
            </w:pPr>
            <w:r w:rsidRPr="00EA60A7">
              <w:t>Total</w:t>
            </w:r>
          </w:p>
        </w:tc>
        <w:tc>
          <w:tcPr>
            <w:tcW w:w="3120" w:type="dxa"/>
          </w:tcPr>
          <w:p w14:paraId="34599B38" w14:textId="54206534" w:rsidR="001E2483" w:rsidRPr="00EA60A7" w:rsidRDefault="00205ADB"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6CA47521"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1A0952F3" w14:textId="77777777" w:rsidR="001E2483"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7CEE37D3"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72C0045F" w14:textId="77777777" w:rsidR="001E2483" w:rsidRDefault="001E2483" w:rsidP="00367A73">
            <w:pPr>
              <w:ind w:firstLine="0"/>
            </w:pPr>
            <w:r>
              <w:t>Immediate Family in Health Care</w:t>
            </w:r>
          </w:p>
        </w:tc>
        <w:tc>
          <w:tcPr>
            <w:tcW w:w="3120" w:type="dxa"/>
          </w:tcPr>
          <w:p w14:paraId="4B74B762"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57AC02A4"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355D31C1"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9E08938" w14:textId="77777777" w:rsidR="001E2483" w:rsidRPr="002B68FC" w:rsidRDefault="001E2483" w:rsidP="00367A73">
            <w:pPr>
              <w:ind w:firstLine="0"/>
              <w:rPr>
                <w:b w:val="0"/>
                <w:bCs w:val="0"/>
              </w:rPr>
            </w:pPr>
            <w:r w:rsidRPr="002B68FC">
              <w:rPr>
                <w:b w:val="0"/>
                <w:bCs w:val="0"/>
              </w:rPr>
              <w:t>Yes</w:t>
            </w:r>
          </w:p>
        </w:tc>
        <w:tc>
          <w:tcPr>
            <w:tcW w:w="3120" w:type="dxa"/>
          </w:tcPr>
          <w:p w14:paraId="15FD1505" w14:textId="1E013FF9"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1</w:t>
            </w:r>
            <w:r w:rsidR="00484DEF">
              <w:t>4</w:t>
            </w:r>
          </w:p>
        </w:tc>
        <w:tc>
          <w:tcPr>
            <w:tcW w:w="3120" w:type="dxa"/>
          </w:tcPr>
          <w:p w14:paraId="291C14F8" w14:textId="073FD769"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28.6</w:t>
            </w:r>
          </w:p>
        </w:tc>
      </w:tr>
      <w:tr w:rsidR="001E2483" w14:paraId="6CD42C98"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34A93C7" w14:textId="77777777" w:rsidR="001E2483" w:rsidRPr="002B68FC" w:rsidRDefault="001E2483" w:rsidP="00367A73">
            <w:pPr>
              <w:ind w:firstLine="0"/>
              <w:rPr>
                <w:b w:val="0"/>
                <w:bCs w:val="0"/>
              </w:rPr>
            </w:pPr>
            <w:r w:rsidRPr="002B68FC">
              <w:rPr>
                <w:b w:val="0"/>
                <w:bCs w:val="0"/>
              </w:rPr>
              <w:t>No</w:t>
            </w:r>
          </w:p>
        </w:tc>
        <w:tc>
          <w:tcPr>
            <w:tcW w:w="3120" w:type="dxa"/>
          </w:tcPr>
          <w:p w14:paraId="6F140AE3" w14:textId="6B126D4F"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3</w:t>
            </w:r>
            <w:r w:rsidR="00484DEF">
              <w:t>5</w:t>
            </w:r>
          </w:p>
        </w:tc>
        <w:tc>
          <w:tcPr>
            <w:tcW w:w="3120" w:type="dxa"/>
          </w:tcPr>
          <w:p w14:paraId="6EF29F3F" w14:textId="0CC4E74A"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7</w:t>
            </w:r>
            <w:r w:rsidR="00484DEF">
              <w:t>1.4</w:t>
            </w:r>
          </w:p>
        </w:tc>
      </w:tr>
      <w:tr w:rsidR="001E2483" w14:paraId="6BA6AFAB"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2BFB509" w14:textId="77777777" w:rsidR="001E2483" w:rsidRDefault="001E2483" w:rsidP="00367A73">
            <w:pPr>
              <w:ind w:firstLine="0"/>
            </w:pPr>
            <w:r>
              <w:t>Total</w:t>
            </w:r>
          </w:p>
        </w:tc>
        <w:tc>
          <w:tcPr>
            <w:tcW w:w="3120" w:type="dxa"/>
          </w:tcPr>
          <w:p w14:paraId="2F90F0D0" w14:textId="3CE42917" w:rsidR="001E2483" w:rsidRPr="00EA60A7" w:rsidRDefault="00484DEF"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66732D88"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74AE1739" w14:textId="77777777" w:rsidR="001E2483"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0DBD8921"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5BDD952" w14:textId="77777777" w:rsidR="001E2483" w:rsidRDefault="001E2483" w:rsidP="00367A73">
            <w:pPr>
              <w:ind w:firstLine="0"/>
            </w:pPr>
            <w:r>
              <w:t>Previous Nursing Experience</w:t>
            </w:r>
          </w:p>
        </w:tc>
        <w:tc>
          <w:tcPr>
            <w:tcW w:w="3120" w:type="dxa"/>
          </w:tcPr>
          <w:p w14:paraId="6F47031E"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124F780F"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0803E456"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3B427AE0" w14:textId="77777777" w:rsidR="001E2483" w:rsidRPr="002B68FC" w:rsidRDefault="001E2483" w:rsidP="00367A73">
            <w:pPr>
              <w:ind w:firstLine="0"/>
              <w:rPr>
                <w:b w:val="0"/>
                <w:bCs w:val="0"/>
              </w:rPr>
            </w:pPr>
            <w:r w:rsidRPr="002B68FC">
              <w:rPr>
                <w:b w:val="0"/>
                <w:bCs w:val="0"/>
              </w:rPr>
              <w:t>Yes</w:t>
            </w:r>
          </w:p>
        </w:tc>
        <w:tc>
          <w:tcPr>
            <w:tcW w:w="3120" w:type="dxa"/>
          </w:tcPr>
          <w:p w14:paraId="0070AC96"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4</w:t>
            </w:r>
          </w:p>
        </w:tc>
        <w:tc>
          <w:tcPr>
            <w:tcW w:w="3120" w:type="dxa"/>
          </w:tcPr>
          <w:p w14:paraId="7D99955C" w14:textId="16987B58"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8.2</w:t>
            </w:r>
          </w:p>
        </w:tc>
      </w:tr>
      <w:tr w:rsidR="001E2483" w14:paraId="355B1FC2"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185B6447" w14:textId="77777777" w:rsidR="001E2483" w:rsidRPr="002B68FC" w:rsidRDefault="001E2483" w:rsidP="00367A73">
            <w:pPr>
              <w:ind w:firstLine="0"/>
              <w:rPr>
                <w:b w:val="0"/>
                <w:bCs w:val="0"/>
              </w:rPr>
            </w:pPr>
            <w:r w:rsidRPr="002B68FC">
              <w:rPr>
                <w:b w:val="0"/>
                <w:bCs w:val="0"/>
              </w:rPr>
              <w:t>No</w:t>
            </w:r>
          </w:p>
        </w:tc>
        <w:tc>
          <w:tcPr>
            <w:tcW w:w="3120" w:type="dxa"/>
          </w:tcPr>
          <w:p w14:paraId="0522B1A4" w14:textId="077ECCDC"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45</w:t>
            </w:r>
          </w:p>
        </w:tc>
        <w:tc>
          <w:tcPr>
            <w:tcW w:w="3120" w:type="dxa"/>
          </w:tcPr>
          <w:p w14:paraId="1F059CBF" w14:textId="05279F10"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9</w:t>
            </w:r>
            <w:r w:rsidR="00484DEF">
              <w:t>1.8</w:t>
            </w:r>
          </w:p>
        </w:tc>
      </w:tr>
      <w:tr w:rsidR="001E2483" w:rsidRPr="00EA60A7" w14:paraId="2C1A9F30"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03DE1D30" w14:textId="77777777" w:rsidR="001E2483" w:rsidRPr="00EA60A7" w:rsidRDefault="001E2483" w:rsidP="00367A73">
            <w:pPr>
              <w:ind w:firstLine="0"/>
              <w:rPr>
                <w:b w:val="0"/>
                <w:bCs w:val="0"/>
              </w:rPr>
            </w:pPr>
            <w:r w:rsidRPr="00EA60A7">
              <w:rPr>
                <w:b w:val="0"/>
                <w:bCs w:val="0"/>
              </w:rPr>
              <w:t>Total</w:t>
            </w:r>
          </w:p>
        </w:tc>
        <w:tc>
          <w:tcPr>
            <w:tcW w:w="3120" w:type="dxa"/>
          </w:tcPr>
          <w:p w14:paraId="7B126764" w14:textId="07F40494" w:rsidR="001E2483" w:rsidRPr="0045195D" w:rsidRDefault="00484DEF"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0C1566EF"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pPr>
            <w:r w:rsidRPr="00EA60A7">
              <w:t>100</w:t>
            </w:r>
          </w:p>
        </w:tc>
      </w:tr>
    </w:tbl>
    <w:p w14:paraId="1459CF67" w14:textId="77777777" w:rsidR="001E2483" w:rsidRPr="00EA60A7"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5770E632"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54766986" w14:textId="77777777" w:rsidR="001E2483" w:rsidRDefault="001E2483" w:rsidP="00367A73">
            <w:pPr>
              <w:ind w:firstLine="0"/>
            </w:pPr>
            <w:r>
              <w:t>Interest in Nursing</w:t>
            </w:r>
          </w:p>
        </w:tc>
        <w:tc>
          <w:tcPr>
            <w:tcW w:w="3120" w:type="dxa"/>
          </w:tcPr>
          <w:p w14:paraId="5DBB21FA"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6F136E07"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444A7E73"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13BFC7C" w14:textId="77777777" w:rsidR="001E2483" w:rsidRPr="002B68FC" w:rsidRDefault="001E2483" w:rsidP="00367A73">
            <w:pPr>
              <w:ind w:firstLine="0"/>
              <w:rPr>
                <w:b w:val="0"/>
                <w:bCs w:val="0"/>
              </w:rPr>
            </w:pPr>
            <w:r w:rsidRPr="002B68FC">
              <w:rPr>
                <w:b w:val="0"/>
                <w:bCs w:val="0"/>
              </w:rPr>
              <w:t>Yes</w:t>
            </w:r>
          </w:p>
        </w:tc>
        <w:tc>
          <w:tcPr>
            <w:tcW w:w="3120" w:type="dxa"/>
          </w:tcPr>
          <w:p w14:paraId="1551DF3E" w14:textId="096F49A8"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48</w:t>
            </w:r>
          </w:p>
        </w:tc>
        <w:tc>
          <w:tcPr>
            <w:tcW w:w="3120" w:type="dxa"/>
          </w:tcPr>
          <w:p w14:paraId="00EDF7DD" w14:textId="38567D24"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98.</w:t>
            </w:r>
            <w:r w:rsidR="00484DEF">
              <w:t>0</w:t>
            </w:r>
          </w:p>
        </w:tc>
      </w:tr>
      <w:tr w:rsidR="001E2483" w14:paraId="17CB2890"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78E1DF36" w14:textId="77777777" w:rsidR="001E2483" w:rsidRPr="002B68FC" w:rsidRDefault="001E2483" w:rsidP="00367A73">
            <w:pPr>
              <w:ind w:firstLine="0"/>
              <w:rPr>
                <w:b w:val="0"/>
                <w:bCs w:val="0"/>
              </w:rPr>
            </w:pPr>
            <w:r w:rsidRPr="002B68FC">
              <w:rPr>
                <w:b w:val="0"/>
                <w:bCs w:val="0"/>
              </w:rPr>
              <w:t>No</w:t>
            </w:r>
          </w:p>
        </w:tc>
        <w:tc>
          <w:tcPr>
            <w:tcW w:w="3120" w:type="dxa"/>
          </w:tcPr>
          <w:p w14:paraId="0C3D1355"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1</w:t>
            </w:r>
          </w:p>
        </w:tc>
        <w:tc>
          <w:tcPr>
            <w:tcW w:w="3120" w:type="dxa"/>
          </w:tcPr>
          <w:p w14:paraId="1E1B48F9" w14:textId="4DB35EB0"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2.0</w:t>
            </w:r>
          </w:p>
        </w:tc>
      </w:tr>
      <w:tr w:rsidR="001E2483" w14:paraId="7EFA7A36"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67DFE750" w14:textId="77777777" w:rsidR="001E2483" w:rsidRDefault="001E2483" w:rsidP="00367A73">
            <w:pPr>
              <w:ind w:firstLine="0"/>
            </w:pPr>
            <w:r>
              <w:t>Total</w:t>
            </w:r>
          </w:p>
        </w:tc>
        <w:tc>
          <w:tcPr>
            <w:tcW w:w="3120" w:type="dxa"/>
          </w:tcPr>
          <w:p w14:paraId="13B9E173" w14:textId="11896C74" w:rsidR="001E2483" w:rsidRPr="00EA60A7" w:rsidRDefault="00484DEF"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5D0AB624"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6A2F6279" w14:textId="77777777" w:rsidR="001E2483"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31970F2F"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36E1BBB6" w14:textId="77777777" w:rsidR="001E2483" w:rsidRDefault="001E2483" w:rsidP="00367A73">
            <w:pPr>
              <w:ind w:firstLine="0"/>
            </w:pPr>
            <w:r>
              <w:t>Currently Working in Health Care</w:t>
            </w:r>
          </w:p>
        </w:tc>
        <w:tc>
          <w:tcPr>
            <w:tcW w:w="3120" w:type="dxa"/>
          </w:tcPr>
          <w:p w14:paraId="0CEB0359"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2EEC12B9"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66A7363A"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0B2E5EF6" w14:textId="77777777" w:rsidR="001E2483" w:rsidRDefault="001E2483" w:rsidP="00367A73">
            <w:pPr>
              <w:ind w:firstLine="0"/>
            </w:pPr>
            <w:r>
              <w:t>Yes</w:t>
            </w:r>
          </w:p>
        </w:tc>
        <w:tc>
          <w:tcPr>
            <w:tcW w:w="3120" w:type="dxa"/>
          </w:tcPr>
          <w:p w14:paraId="0CFDB187" w14:textId="519760D4"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9</w:t>
            </w:r>
          </w:p>
        </w:tc>
        <w:tc>
          <w:tcPr>
            <w:tcW w:w="3120" w:type="dxa"/>
          </w:tcPr>
          <w:p w14:paraId="7B903752" w14:textId="0C27FB3A"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18.</w:t>
            </w:r>
            <w:r w:rsidR="00484DEF">
              <w:t>4</w:t>
            </w:r>
          </w:p>
        </w:tc>
      </w:tr>
      <w:tr w:rsidR="001E2483" w14:paraId="1738B8C8"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37D84F93" w14:textId="77777777" w:rsidR="001E2483" w:rsidRDefault="001E2483" w:rsidP="00367A73">
            <w:pPr>
              <w:ind w:firstLine="0"/>
            </w:pPr>
            <w:r>
              <w:t>No</w:t>
            </w:r>
          </w:p>
        </w:tc>
        <w:tc>
          <w:tcPr>
            <w:tcW w:w="3120" w:type="dxa"/>
          </w:tcPr>
          <w:p w14:paraId="00718197" w14:textId="0AB41331"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4</w:t>
            </w:r>
            <w:r w:rsidR="00484DEF">
              <w:t>0</w:t>
            </w:r>
          </w:p>
        </w:tc>
        <w:tc>
          <w:tcPr>
            <w:tcW w:w="3120" w:type="dxa"/>
          </w:tcPr>
          <w:p w14:paraId="1D852066" w14:textId="73CB6683"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81.</w:t>
            </w:r>
            <w:r w:rsidR="00484DEF">
              <w:t>6</w:t>
            </w:r>
          </w:p>
        </w:tc>
      </w:tr>
      <w:tr w:rsidR="001E2483" w14:paraId="6EA782E6"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761599D2" w14:textId="77777777" w:rsidR="001E2483" w:rsidRDefault="001E2483" w:rsidP="00367A73">
            <w:pPr>
              <w:ind w:firstLine="0"/>
            </w:pPr>
            <w:r>
              <w:t>Total</w:t>
            </w:r>
          </w:p>
        </w:tc>
        <w:tc>
          <w:tcPr>
            <w:tcW w:w="3120" w:type="dxa"/>
          </w:tcPr>
          <w:p w14:paraId="35BB0896" w14:textId="6D341A1A" w:rsidR="001E2483" w:rsidRPr="00EA60A7" w:rsidRDefault="00484DEF"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634524F4"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2B559EBA" w14:textId="77777777" w:rsidR="001E2483"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34C61C8F"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0EB71213" w14:textId="77777777" w:rsidR="001E2483" w:rsidRDefault="001E2483" w:rsidP="00367A73">
            <w:pPr>
              <w:ind w:firstLine="0"/>
            </w:pPr>
            <w:r>
              <w:lastRenderedPageBreak/>
              <w:t>Current General Health Status</w:t>
            </w:r>
          </w:p>
        </w:tc>
        <w:tc>
          <w:tcPr>
            <w:tcW w:w="3120" w:type="dxa"/>
          </w:tcPr>
          <w:p w14:paraId="203D27D7"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652E1AC6"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6640EBB4"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F4272BE" w14:textId="77777777" w:rsidR="001E2483" w:rsidRPr="00145EB3" w:rsidRDefault="001E2483" w:rsidP="00367A73">
            <w:pPr>
              <w:ind w:firstLine="0"/>
              <w:rPr>
                <w:b w:val="0"/>
                <w:bCs w:val="0"/>
              </w:rPr>
            </w:pPr>
            <w:r w:rsidRPr="00145EB3">
              <w:rPr>
                <w:b w:val="0"/>
                <w:bCs w:val="0"/>
              </w:rPr>
              <w:t>Excellent</w:t>
            </w:r>
          </w:p>
        </w:tc>
        <w:tc>
          <w:tcPr>
            <w:tcW w:w="3120" w:type="dxa"/>
          </w:tcPr>
          <w:p w14:paraId="23389FDE" w14:textId="7D150EAE"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2</w:t>
            </w:r>
            <w:r w:rsidR="00484DEF">
              <w:t>3</w:t>
            </w:r>
          </w:p>
        </w:tc>
        <w:tc>
          <w:tcPr>
            <w:tcW w:w="3120" w:type="dxa"/>
          </w:tcPr>
          <w:p w14:paraId="4E59CE01" w14:textId="0A243D08"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4</w:t>
            </w:r>
            <w:r w:rsidR="00484DEF">
              <w:t>6.9</w:t>
            </w:r>
          </w:p>
        </w:tc>
      </w:tr>
      <w:tr w:rsidR="001E2483" w14:paraId="60438E20"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639F5572" w14:textId="77777777" w:rsidR="001E2483" w:rsidRPr="00145EB3" w:rsidRDefault="001E2483" w:rsidP="00367A73">
            <w:pPr>
              <w:ind w:firstLine="0"/>
              <w:rPr>
                <w:b w:val="0"/>
                <w:bCs w:val="0"/>
              </w:rPr>
            </w:pPr>
            <w:r w:rsidRPr="00145EB3">
              <w:rPr>
                <w:b w:val="0"/>
                <w:bCs w:val="0"/>
              </w:rPr>
              <w:t>Good</w:t>
            </w:r>
          </w:p>
        </w:tc>
        <w:tc>
          <w:tcPr>
            <w:tcW w:w="3120" w:type="dxa"/>
          </w:tcPr>
          <w:p w14:paraId="729DD652" w14:textId="3B94DF95"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2</w:t>
            </w:r>
            <w:r w:rsidR="00484DEF">
              <w:t>0</w:t>
            </w:r>
          </w:p>
        </w:tc>
        <w:tc>
          <w:tcPr>
            <w:tcW w:w="3120" w:type="dxa"/>
          </w:tcPr>
          <w:p w14:paraId="2C33F4D0" w14:textId="523AC23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4</w:t>
            </w:r>
            <w:r w:rsidR="00484DEF">
              <w:t>0.8</w:t>
            </w:r>
          </w:p>
        </w:tc>
      </w:tr>
      <w:tr w:rsidR="001E2483" w14:paraId="0C67D27A"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1AB0552B" w14:textId="77777777" w:rsidR="001E2483" w:rsidRPr="00145EB3" w:rsidRDefault="001E2483" w:rsidP="00367A73">
            <w:pPr>
              <w:ind w:firstLine="0"/>
              <w:rPr>
                <w:b w:val="0"/>
                <w:bCs w:val="0"/>
              </w:rPr>
            </w:pPr>
            <w:r w:rsidRPr="00145EB3">
              <w:rPr>
                <w:b w:val="0"/>
                <w:bCs w:val="0"/>
              </w:rPr>
              <w:t>Average</w:t>
            </w:r>
          </w:p>
        </w:tc>
        <w:tc>
          <w:tcPr>
            <w:tcW w:w="3120" w:type="dxa"/>
          </w:tcPr>
          <w:p w14:paraId="79C0098A"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5</w:t>
            </w:r>
          </w:p>
        </w:tc>
        <w:tc>
          <w:tcPr>
            <w:tcW w:w="3120" w:type="dxa"/>
          </w:tcPr>
          <w:p w14:paraId="573AF8CE" w14:textId="43FEC42E"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10.2</w:t>
            </w:r>
          </w:p>
        </w:tc>
      </w:tr>
      <w:tr w:rsidR="001E2483" w14:paraId="493F77CB"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06024B6B" w14:textId="77777777" w:rsidR="001E2483" w:rsidRPr="00145EB3" w:rsidRDefault="001E2483" w:rsidP="00367A73">
            <w:pPr>
              <w:ind w:firstLine="0"/>
              <w:rPr>
                <w:b w:val="0"/>
                <w:bCs w:val="0"/>
              </w:rPr>
            </w:pPr>
            <w:r w:rsidRPr="00145EB3">
              <w:rPr>
                <w:b w:val="0"/>
                <w:bCs w:val="0"/>
              </w:rPr>
              <w:t>Poor</w:t>
            </w:r>
          </w:p>
        </w:tc>
        <w:tc>
          <w:tcPr>
            <w:tcW w:w="3120" w:type="dxa"/>
          </w:tcPr>
          <w:p w14:paraId="21140B16"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1</w:t>
            </w:r>
          </w:p>
        </w:tc>
        <w:tc>
          <w:tcPr>
            <w:tcW w:w="3120" w:type="dxa"/>
          </w:tcPr>
          <w:p w14:paraId="18F9FBD9" w14:textId="20D11E66"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2.0</w:t>
            </w:r>
          </w:p>
        </w:tc>
      </w:tr>
      <w:tr w:rsidR="001E2483" w14:paraId="1B418460"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22E376EC" w14:textId="77777777" w:rsidR="001E2483" w:rsidRPr="0045195D" w:rsidRDefault="001E2483" w:rsidP="00367A73">
            <w:pPr>
              <w:ind w:firstLine="0"/>
              <w:rPr>
                <w:b w:val="0"/>
                <w:bCs w:val="0"/>
              </w:rPr>
            </w:pPr>
            <w:r>
              <w:rPr>
                <w:b w:val="0"/>
                <w:bCs w:val="0"/>
              </w:rPr>
              <w:t>Terrible</w:t>
            </w:r>
          </w:p>
        </w:tc>
        <w:tc>
          <w:tcPr>
            <w:tcW w:w="3120" w:type="dxa"/>
          </w:tcPr>
          <w:p w14:paraId="0B55FCDA"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c>
          <w:tcPr>
            <w:tcW w:w="3120" w:type="dxa"/>
          </w:tcPr>
          <w:p w14:paraId="7CD1E4C0" w14:textId="77777777"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0</w:t>
            </w:r>
          </w:p>
        </w:tc>
      </w:tr>
      <w:tr w:rsidR="001E2483" w14:paraId="6CAE30D5"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3B801CA2" w14:textId="77777777" w:rsidR="001E2483" w:rsidRDefault="001E2483" w:rsidP="00367A73">
            <w:pPr>
              <w:ind w:firstLine="0"/>
            </w:pPr>
            <w:r>
              <w:t>Total</w:t>
            </w:r>
          </w:p>
        </w:tc>
        <w:tc>
          <w:tcPr>
            <w:tcW w:w="3120" w:type="dxa"/>
          </w:tcPr>
          <w:p w14:paraId="3CD750D0" w14:textId="252849C3" w:rsidR="001E2483" w:rsidRPr="00EA60A7" w:rsidRDefault="00484DEF"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2B440CDC"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5F236792" w14:textId="77777777" w:rsidR="001E2483" w:rsidRDefault="001E2483" w:rsidP="001E2483">
      <w:pPr>
        <w:ind w:firstLine="0"/>
      </w:pPr>
    </w:p>
    <w:tbl>
      <w:tblPr>
        <w:tblStyle w:val="GridTable1Light"/>
        <w:tblW w:w="0" w:type="auto"/>
        <w:tblLook w:val="04A0" w:firstRow="1" w:lastRow="0" w:firstColumn="1" w:lastColumn="0" w:noHBand="0" w:noVBand="1"/>
      </w:tblPr>
      <w:tblGrid>
        <w:gridCol w:w="3117"/>
        <w:gridCol w:w="3116"/>
        <w:gridCol w:w="3117"/>
      </w:tblGrid>
      <w:tr w:rsidR="001E2483" w14:paraId="38989DEF" w14:textId="77777777" w:rsidTr="00367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6C4930AA" w14:textId="77777777" w:rsidR="001E2483" w:rsidRDefault="001E2483" w:rsidP="00367A73">
            <w:pPr>
              <w:ind w:firstLine="0"/>
            </w:pPr>
            <w:r>
              <w:t>Currently Taking Prescription Medications</w:t>
            </w:r>
          </w:p>
        </w:tc>
        <w:tc>
          <w:tcPr>
            <w:tcW w:w="3120" w:type="dxa"/>
          </w:tcPr>
          <w:p w14:paraId="4EDCE7C9"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Total</w:t>
            </w:r>
          </w:p>
        </w:tc>
        <w:tc>
          <w:tcPr>
            <w:tcW w:w="3120" w:type="dxa"/>
          </w:tcPr>
          <w:p w14:paraId="0BB4F7F1" w14:textId="77777777" w:rsidR="001E2483" w:rsidRDefault="001E2483" w:rsidP="00367A73">
            <w:pPr>
              <w:ind w:firstLine="0"/>
              <w:cnfStyle w:val="100000000000" w:firstRow="1" w:lastRow="0" w:firstColumn="0" w:lastColumn="0" w:oddVBand="0" w:evenVBand="0" w:oddHBand="0" w:evenHBand="0" w:firstRowFirstColumn="0" w:firstRowLastColumn="0" w:lastRowFirstColumn="0" w:lastRowLastColumn="0"/>
            </w:pPr>
            <w:r>
              <w:t>Percent</w:t>
            </w:r>
          </w:p>
        </w:tc>
      </w:tr>
      <w:tr w:rsidR="001E2483" w14:paraId="11BE82AE"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1EFBB4E" w14:textId="77777777" w:rsidR="001E2483" w:rsidRPr="00145EB3" w:rsidRDefault="001E2483" w:rsidP="00367A73">
            <w:pPr>
              <w:ind w:firstLine="0"/>
              <w:rPr>
                <w:b w:val="0"/>
                <w:bCs w:val="0"/>
              </w:rPr>
            </w:pPr>
            <w:r w:rsidRPr="00145EB3">
              <w:rPr>
                <w:b w:val="0"/>
                <w:bCs w:val="0"/>
              </w:rPr>
              <w:t>Yes</w:t>
            </w:r>
          </w:p>
        </w:tc>
        <w:tc>
          <w:tcPr>
            <w:tcW w:w="3120" w:type="dxa"/>
          </w:tcPr>
          <w:p w14:paraId="74F1853C" w14:textId="5E49FEF7"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21</w:t>
            </w:r>
          </w:p>
        </w:tc>
        <w:tc>
          <w:tcPr>
            <w:tcW w:w="3120" w:type="dxa"/>
          </w:tcPr>
          <w:p w14:paraId="70915032" w14:textId="0FB1D26F"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42.</w:t>
            </w:r>
            <w:r w:rsidR="00484DEF">
              <w:t>9</w:t>
            </w:r>
          </w:p>
        </w:tc>
      </w:tr>
      <w:tr w:rsidR="001E2483" w14:paraId="0C376E15"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54A81212" w14:textId="77777777" w:rsidR="001E2483" w:rsidRPr="00145EB3" w:rsidRDefault="001E2483" w:rsidP="00367A73">
            <w:pPr>
              <w:ind w:firstLine="0"/>
              <w:rPr>
                <w:b w:val="0"/>
                <w:bCs w:val="0"/>
              </w:rPr>
            </w:pPr>
            <w:r w:rsidRPr="00145EB3">
              <w:rPr>
                <w:b w:val="0"/>
                <w:bCs w:val="0"/>
              </w:rPr>
              <w:t>No</w:t>
            </w:r>
          </w:p>
        </w:tc>
        <w:tc>
          <w:tcPr>
            <w:tcW w:w="3120" w:type="dxa"/>
          </w:tcPr>
          <w:p w14:paraId="4ECA139B" w14:textId="3B63C905" w:rsidR="001E2483" w:rsidRDefault="00484DEF" w:rsidP="00367A73">
            <w:pPr>
              <w:ind w:firstLine="0"/>
              <w:cnfStyle w:val="000000000000" w:firstRow="0" w:lastRow="0" w:firstColumn="0" w:lastColumn="0" w:oddVBand="0" w:evenVBand="0" w:oddHBand="0" w:evenHBand="0" w:firstRowFirstColumn="0" w:firstRowLastColumn="0" w:lastRowFirstColumn="0" w:lastRowLastColumn="0"/>
            </w:pPr>
            <w:r>
              <w:t>28</w:t>
            </w:r>
          </w:p>
        </w:tc>
        <w:tc>
          <w:tcPr>
            <w:tcW w:w="3120" w:type="dxa"/>
          </w:tcPr>
          <w:p w14:paraId="395EFDB2" w14:textId="370ECA44" w:rsidR="001E2483" w:rsidRDefault="001E2483" w:rsidP="00367A73">
            <w:pPr>
              <w:ind w:firstLine="0"/>
              <w:cnfStyle w:val="000000000000" w:firstRow="0" w:lastRow="0" w:firstColumn="0" w:lastColumn="0" w:oddVBand="0" w:evenVBand="0" w:oddHBand="0" w:evenHBand="0" w:firstRowFirstColumn="0" w:firstRowLastColumn="0" w:lastRowFirstColumn="0" w:lastRowLastColumn="0"/>
            </w:pPr>
            <w:r>
              <w:t>57.</w:t>
            </w:r>
            <w:r w:rsidR="00484DEF">
              <w:t>1</w:t>
            </w:r>
          </w:p>
        </w:tc>
      </w:tr>
      <w:tr w:rsidR="001E2483" w14:paraId="32234201" w14:textId="77777777" w:rsidTr="00367A73">
        <w:tc>
          <w:tcPr>
            <w:cnfStyle w:val="001000000000" w:firstRow="0" w:lastRow="0" w:firstColumn="1" w:lastColumn="0" w:oddVBand="0" w:evenVBand="0" w:oddHBand="0" w:evenHBand="0" w:firstRowFirstColumn="0" w:firstRowLastColumn="0" w:lastRowFirstColumn="0" w:lastRowLastColumn="0"/>
            <w:tcW w:w="3120" w:type="dxa"/>
          </w:tcPr>
          <w:p w14:paraId="4586DBFE" w14:textId="77777777" w:rsidR="001E2483" w:rsidRDefault="001E2483" w:rsidP="00367A73">
            <w:pPr>
              <w:ind w:firstLine="0"/>
            </w:pPr>
            <w:r>
              <w:t>Total</w:t>
            </w:r>
          </w:p>
        </w:tc>
        <w:tc>
          <w:tcPr>
            <w:tcW w:w="3120" w:type="dxa"/>
          </w:tcPr>
          <w:p w14:paraId="61B27A3C" w14:textId="6812E12F" w:rsidR="001E2483" w:rsidRPr="00EA60A7" w:rsidRDefault="00484DEF" w:rsidP="00367A73">
            <w:pPr>
              <w:ind w:firstLine="0"/>
              <w:cnfStyle w:val="000000000000" w:firstRow="0" w:lastRow="0" w:firstColumn="0" w:lastColumn="0" w:oddVBand="0" w:evenVBand="0" w:oddHBand="0" w:evenHBand="0" w:firstRowFirstColumn="0" w:firstRowLastColumn="0" w:lastRowFirstColumn="0" w:lastRowLastColumn="0"/>
              <w:rPr>
                <w:b/>
                <w:bCs/>
              </w:rPr>
            </w:pPr>
            <w:r>
              <w:rPr>
                <w:b/>
                <w:bCs/>
              </w:rPr>
              <w:t>49</w:t>
            </w:r>
          </w:p>
        </w:tc>
        <w:tc>
          <w:tcPr>
            <w:tcW w:w="3120" w:type="dxa"/>
          </w:tcPr>
          <w:p w14:paraId="17083D45" w14:textId="77777777" w:rsidR="001E2483" w:rsidRPr="00EA60A7" w:rsidRDefault="001E2483" w:rsidP="00367A73">
            <w:pPr>
              <w:ind w:firstLine="0"/>
              <w:cnfStyle w:val="000000000000" w:firstRow="0" w:lastRow="0" w:firstColumn="0" w:lastColumn="0" w:oddVBand="0" w:evenVBand="0" w:oddHBand="0" w:evenHBand="0" w:firstRowFirstColumn="0" w:firstRowLastColumn="0" w:lastRowFirstColumn="0" w:lastRowLastColumn="0"/>
              <w:rPr>
                <w:b/>
                <w:bCs/>
              </w:rPr>
            </w:pPr>
            <w:r w:rsidRPr="00EA60A7">
              <w:rPr>
                <w:b/>
                <w:bCs/>
              </w:rPr>
              <w:t>100</w:t>
            </w:r>
          </w:p>
        </w:tc>
      </w:tr>
    </w:tbl>
    <w:p w14:paraId="50070482" w14:textId="3844BEE0" w:rsidR="007D2BFB" w:rsidRDefault="007D2BFB" w:rsidP="007D2BFB">
      <w:pPr>
        <w:ind w:firstLine="0"/>
      </w:pPr>
    </w:p>
    <w:tbl>
      <w:tblPr>
        <w:tblStyle w:val="TableGrid"/>
        <w:tblW w:w="0" w:type="auto"/>
        <w:tblLook w:val="04A0" w:firstRow="1" w:lastRow="0" w:firstColumn="1" w:lastColumn="0" w:noHBand="0" w:noVBand="1"/>
      </w:tblPr>
      <w:tblGrid>
        <w:gridCol w:w="3117"/>
        <w:gridCol w:w="3116"/>
        <w:gridCol w:w="3117"/>
      </w:tblGrid>
      <w:tr w:rsidR="007D2BFB" w14:paraId="51181593" w14:textId="77777777" w:rsidTr="007D2BFB">
        <w:tc>
          <w:tcPr>
            <w:tcW w:w="3120" w:type="dxa"/>
          </w:tcPr>
          <w:p w14:paraId="7CED0A8A" w14:textId="2D151E6A" w:rsidR="007D2BFB" w:rsidRPr="007D2BFB" w:rsidRDefault="007D2BFB" w:rsidP="007D2BFB">
            <w:pPr>
              <w:ind w:firstLine="0"/>
              <w:rPr>
                <w:b/>
                <w:bCs/>
              </w:rPr>
            </w:pPr>
            <w:r w:rsidRPr="007D2BFB">
              <w:rPr>
                <w:b/>
                <w:bCs/>
              </w:rPr>
              <w:t>Length of Time Taking Medication</w:t>
            </w:r>
          </w:p>
        </w:tc>
        <w:tc>
          <w:tcPr>
            <w:tcW w:w="3120" w:type="dxa"/>
          </w:tcPr>
          <w:p w14:paraId="2CBA45D9" w14:textId="5EA0D4CE" w:rsidR="007D2BFB" w:rsidRPr="007D2BFB" w:rsidRDefault="007D2BFB" w:rsidP="007D2BFB">
            <w:pPr>
              <w:ind w:firstLine="0"/>
              <w:rPr>
                <w:b/>
                <w:bCs/>
              </w:rPr>
            </w:pPr>
            <w:r w:rsidRPr="007D2BFB">
              <w:rPr>
                <w:b/>
                <w:bCs/>
              </w:rPr>
              <w:t>Total</w:t>
            </w:r>
          </w:p>
        </w:tc>
        <w:tc>
          <w:tcPr>
            <w:tcW w:w="3120" w:type="dxa"/>
          </w:tcPr>
          <w:p w14:paraId="01165719" w14:textId="1B40E4CE" w:rsidR="007D2BFB" w:rsidRPr="007D2BFB" w:rsidRDefault="007D2BFB" w:rsidP="007D2BFB">
            <w:pPr>
              <w:ind w:firstLine="0"/>
              <w:rPr>
                <w:b/>
                <w:bCs/>
              </w:rPr>
            </w:pPr>
            <w:r w:rsidRPr="007D2BFB">
              <w:rPr>
                <w:b/>
                <w:bCs/>
              </w:rPr>
              <w:t>Percent</w:t>
            </w:r>
          </w:p>
        </w:tc>
      </w:tr>
      <w:tr w:rsidR="007D2BFB" w14:paraId="111B3733" w14:textId="77777777" w:rsidTr="007D2BFB">
        <w:tc>
          <w:tcPr>
            <w:tcW w:w="3120" w:type="dxa"/>
          </w:tcPr>
          <w:p w14:paraId="24008AC9" w14:textId="40DC1EAF" w:rsidR="007D2BFB" w:rsidRDefault="007D2BFB" w:rsidP="007D2BFB">
            <w:pPr>
              <w:ind w:firstLine="0"/>
            </w:pPr>
            <w:r>
              <w:t>0-3 months</w:t>
            </w:r>
          </w:p>
        </w:tc>
        <w:tc>
          <w:tcPr>
            <w:tcW w:w="3120" w:type="dxa"/>
          </w:tcPr>
          <w:p w14:paraId="43D912EB" w14:textId="55D69D10" w:rsidR="007D2BFB" w:rsidRDefault="00484DEF" w:rsidP="007D2BFB">
            <w:pPr>
              <w:ind w:firstLine="0"/>
            </w:pPr>
            <w:r>
              <w:t>28</w:t>
            </w:r>
          </w:p>
        </w:tc>
        <w:tc>
          <w:tcPr>
            <w:tcW w:w="3120" w:type="dxa"/>
          </w:tcPr>
          <w:p w14:paraId="79B7894D" w14:textId="2C65CC7F" w:rsidR="007D2BFB" w:rsidRDefault="007D2BFB" w:rsidP="007D2BFB">
            <w:pPr>
              <w:ind w:firstLine="0"/>
            </w:pPr>
            <w:r>
              <w:t>57.</w:t>
            </w:r>
            <w:r w:rsidR="00484DEF">
              <w:t>1</w:t>
            </w:r>
          </w:p>
        </w:tc>
      </w:tr>
      <w:tr w:rsidR="007D2BFB" w14:paraId="02DA2790" w14:textId="77777777" w:rsidTr="007D2BFB">
        <w:tc>
          <w:tcPr>
            <w:tcW w:w="3120" w:type="dxa"/>
          </w:tcPr>
          <w:p w14:paraId="5C216C7A" w14:textId="17E82B91" w:rsidR="007D2BFB" w:rsidRDefault="007D2BFB" w:rsidP="007D2BFB">
            <w:pPr>
              <w:ind w:firstLine="0"/>
            </w:pPr>
            <w:r>
              <w:t>4-6 months</w:t>
            </w:r>
          </w:p>
        </w:tc>
        <w:tc>
          <w:tcPr>
            <w:tcW w:w="3120" w:type="dxa"/>
          </w:tcPr>
          <w:p w14:paraId="094B7311" w14:textId="6D1B0B55" w:rsidR="007D2BFB" w:rsidRDefault="007D2BFB" w:rsidP="007D2BFB">
            <w:pPr>
              <w:ind w:firstLine="0"/>
            </w:pPr>
            <w:r>
              <w:t>3</w:t>
            </w:r>
          </w:p>
        </w:tc>
        <w:tc>
          <w:tcPr>
            <w:tcW w:w="3120" w:type="dxa"/>
          </w:tcPr>
          <w:p w14:paraId="2E8A187C" w14:textId="6F042D55" w:rsidR="007D2BFB" w:rsidRDefault="00484DEF" w:rsidP="007D2BFB">
            <w:pPr>
              <w:ind w:firstLine="0"/>
            </w:pPr>
            <w:r>
              <w:t>6.1</w:t>
            </w:r>
          </w:p>
        </w:tc>
      </w:tr>
      <w:tr w:rsidR="007D2BFB" w14:paraId="0F0D11C8" w14:textId="77777777" w:rsidTr="007D2BFB">
        <w:tc>
          <w:tcPr>
            <w:tcW w:w="3120" w:type="dxa"/>
          </w:tcPr>
          <w:p w14:paraId="062C82FA" w14:textId="44485645" w:rsidR="007D2BFB" w:rsidRDefault="007D2BFB" w:rsidP="007D2BFB">
            <w:pPr>
              <w:ind w:firstLine="0"/>
            </w:pPr>
            <w:r>
              <w:t>6-12 months</w:t>
            </w:r>
          </w:p>
        </w:tc>
        <w:tc>
          <w:tcPr>
            <w:tcW w:w="3120" w:type="dxa"/>
          </w:tcPr>
          <w:p w14:paraId="74A9651F" w14:textId="2997422A" w:rsidR="007D2BFB" w:rsidRDefault="007D2BFB" w:rsidP="007D2BFB">
            <w:pPr>
              <w:ind w:firstLine="0"/>
            </w:pPr>
            <w:r>
              <w:t>3</w:t>
            </w:r>
          </w:p>
        </w:tc>
        <w:tc>
          <w:tcPr>
            <w:tcW w:w="3120" w:type="dxa"/>
          </w:tcPr>
          <w:p w14:paraId="21993EDB" w14:textId="3019CDA0" w:rsidR="007D2BFB" w:rsidRDefault="00484DEF" w:rsidP="007D2BFB">
            <w:pPr>
              <w:ind w:firstLine="0"/>
            </w:pPr>
            <w:r>
              <w:t>6.1</w:t>
            </w:r>
          </w:p>
        </w:tc>
      </w:tr>
      <w:tr w:rsidR="007D2BFB" w14:paraId="3B96A768" w14:textId="77777777" w:rsidTr="007D2BFB">
        <w:tc>
          <w:tcPr>
            <w:tcW w:w="3120" w:type="dxa"/>
          </w:tcPr>
          <w:p w14:paraId="036FDE4E" w14:textId="66B22723" w:rsidR="007D2BFB" w:rsidRDefault="007D2BFB" w:rsidP="007D2BFB">
            <w:pPr>
              <w:ind w:firstLine="0"/>
            </w:pPr>
            <w:r>
              <w:t>1-2 years</w:t>
            </w:r>
          </w:p>
        </w:tc>
        <w:tc>
          <w:tcPr>
            <w:tcW w:w="3120" w:type="dxa"/>
          </w:tcPr>
          <w:p w14:paraId="75B01619" w14:textId="32C18E6E" w:rsidR="007D2BFB" w:rsidRDefault="00484DEF" w:rsidP="007D2BFB">
            <w:pPr>
              <w:ind w:firstLine="0"/>
            </w:pPr>
            <w:r>
              <w:t>4</w:t>
            </w:r>
          </w:p>
        </w:tc>
        <w:tc>
          <w:tcPr>
            <w:tcW w:w="3120" w:type="dxa"/>
          </w:tcPr>
          <w:p w14:paraId="7F4CAD05" w14:textId="610613D4" w:rsidR="007D2BFB" w:rsidRDefault="00484DEF" w:rsidP="007D2BFB">
            <w:pPr>
              <w:ind w:firstLine="0"/>
            </w:pPr>
            <w:r>
              <w:t>8.2</w:t>
            </w:r>
          </w:p>
        </w:tc>
      </w:tr>
      <w:tr w:rsidR="007D2BFB" w14:paraId="74E615D4" w14:textId="77777777" w:rsidTr="007D2BFB">
        <w:tc>
          <w:tcPr>
            <w:tcW w:w="3120" w:type="dxa"/>
          </w:tcPr>
          <w:p w14:paraId="1DA10DBC" w14:textId="6EC8CDD2" w:rsidR="007D2BFB" w:rsidRDefault="007D2BFB" w:rsidP="007D2BFB">
            <w:pPr>
              <w:ind w:firstLine="0"/>
            </w:pPr>
            <w:r>
              <w:t>2+ years</w:t>
            </w:r>
          </w:p>
        </w:tc>
        <w:tc>
          <w:tcPr>
            <w:tcW w:w="3120" w:type="dxa"/>
          </w:tcPr>
          <w:p w14:paraId="4698ADAD" w14:textId="738B72BB" w:rsidR="007D2BFB" w:rsidRDefault="007D2BFB" w:rsidP="007D2BFB">
            <w:pPr>
              <w:ind w:firstLine="0"/>
            </w:pPr>
            <w:r>
              <w:t>1</w:t>
            </w:r>
            <w:r w:rsidR="00484DEF">
              <w:t>1</w:t>
            </w:r>
          </w:p>
        </w:tc>
        <w:tc>
          <w:tcPr>
            <w:tcW w:w="3120" w:type="dxa"/>
          </w:tcPr>
          <w:p w14:paraId="6A4BB184" w14:textId="4A781565" w:rsidR="007D2BFB" w:rsidRDefault="007D2BFB" w:rsidP="007D2BFB">
            <w:pPr>
              <w:ind w:firstLine="0"/>
            </w:pPr>
            <w:r>
              <w:t>22.</w:t>
            </w:r>
            <w:r w:rsidR="00484DEF">
              <w:t>4</w:t>
            </w:r>
          </w:p>
        </w:tc>
      </w:tr>
      <w:tr w:rsidR="007D2BFB" w14:paraId="718D9C48" w14:textId="77777777" w:rsidTr="007D2BFB">
        <w:tc>
          <w:tcPr>
            <w:tcW w:w="3120" w:type="dxa"/>
          </w:tcPr>
          <w:p w14:paraId="4A93F38B" w14:textId="2B049996" w:rsidR="007D2BFB" w:rsidRPr="007D2BFB" w:rsidRDefault="007D2BFB" w:rsidP="007D2BFB">
            <w:pPr>
              <w:ind w:firstLine="0"/>
              <w:rPr>
                <w:b/>
                <w:bCs/>
              </w:rPr>
            </w:pPr>
            <w:r w:rsidRPr="007D2BFB">
              <w:rPr>
                <w:b/>
                <w:bCs/>
              </w:rPr>
              <w:t>Total</w:t>
            </w:r>
          </w:p>
        </w:tc>
        <w:tc>
          <w:tcPr>
            <w:tcW w:w="3120" w:type="dxa"/>
          </w:tcPr>
          <w:p w14:paraId="28F2F09E" w14:textId="0AD79054" w:rsidR="007D2BFB" w:rsidRPr="007D2BFB" w:rsidRDefault="00484DEF" w:rsidP="007D2BFB">
            <w:pPr>
              <w:ind w:firstLine="0"/>
              <w:rPr>
                <w:b/>
                <w:bCs/>
              </w:rPr>
            </w:pPr>
            <w:r>
              <w:rPr>
                <w:b/>
                <w:bCs/>
              </w:rPr>
              <w:t>49</w:t>
            </w:r>
          </w:p>
        </w:tc>
        <w:tc>
          <w:tcPr>
            <w:tcW w:w="3120" w:type="dxa"/>
          </w:tcPr>
          <w:p w14:paraId="0B059E11" w14:textId="5CD28B45" w:rsidR="007D2BFB" w:rsidRPr="007D2BFB" w:rsidRDefault="007D2BFB" w:rsidP="007D2BFB">
            <w:pPr>
              <w:ind w:firstLine="0"/>
              <w:rPr>
                <w:b/>
                <w:bCs/>
              </w:rPr>
            </w:pPr>
            <w:r w:rsidRPr="007D2BFB">
              <w:rPr>
                <w:b/>
                <w:bCs/>
              </w:rPr>
              <w:t>100</w:t>
            </w:r>
          </w:p>
        </w:tc>
      </w:tr>
    </w:tbl>
    <w:p w14:paraId="405B7470" w14:textId="46486103" w:rsidR="007D2BFB" w:rsidRDefault="007D2BFB" w:rsidP="007D2BFB">
      <w:pPr>
        <w:ind w:firstLine="0"/>
      </w:pPr>
    </w:p>
    <w:tbl>
      <w:tblPr>
        <w:tblStyle w:val="TableGrid"/>
        <w:tblW w:w="9355" w:type="dxa"/>
        <w:tblLook w:val="04A0" w:firstRow="1" w:lastRow="0" w:firstColumn="1" w:lastColumn="0" w:noHBand="0" w:noVBand="1"/>
      </w:tblPr>
      <w:tblGrid>
        <w:gridCol w:w="3120"/>
        <w:gridCol w:w="6235"/>
      </w:tblGrid>
      <w:tr w:rsidR="003972BB" w14:paraId="15EF69D5" w14:textId="77777777" w:rsidTr="003972BB">
        <w:tc>
          <w:tcPr>
            <w:tcW w:w="3120" w:type="dxa"/>
          </w:tcPr>
          <w:p w14:paraId="0BAA3912" w14:textId="77777777" w:rsidR="003972BB" w:rsidRPr="003972BB" w:rsidRDefault="003972BB" w:rsidP="00367A73">
            <w:pPr>
              <w:ind w:firstLine="0"/>
              <w:rPr>
                <w:b/>
                <w:bCs/>
              </w:rPr>
            </w:pPr>
            <w:r w:rsidRPr="003972BB">
              <w:rPr>
                <w:b/>
                <w:bCs/>
              </w:rPr>
              <w:t>Class of Medication</w:t>
            </w:r>
          </w:p>
        </w:tc>
        <w:tc>
          <w:tcPr>
            <w:tcW w:w="6235" w:type="dxa"/>
          </w:tcPr>
          <w:p w14:paraId="1C5C2475" w14:textId="77777777" w:rsidR="003972BB" w:rsidRPr="003972BB" w:rsidRDefault="003972BB" w:rsidP="00367A73">
            <w:pPr>
              <w:ind w:firstLine="0"/>
              <w:rPr>
                <w:b/>
                <w:bCs/>
              </w:rPr>
            </w:pPr>
            <w:r w:rsidRPr="003972BB">
              <w:rPr>
                <w:b/>
                <w:bCs/>
              </w:rPr>
              <w:t>Name of medication</w:t>
            </w:r>
          </w:p>
        </w:tc>
      </w:tr>
      <w:tr w:rsidR="003972BB" w14:paraId="5C0EF975" w14:textId="77777777" w:rsidTr="003972BB">
        <w:tc>
          <w:tcPr>
            <w:tcW w:w="3120" w:type="dxa"/>
          </w:tcPr>
          <w:p w14:paraId="1CBBD53E" w14:textId="7A609FAA" w:rsidR="003972BB" w:rsidRDefault="003972BB" w:rsidP="00367A73">
            <w:pPr>
              <w:ind w:firstLine="0"/>
            </w:pPr>
            <w:r>
              <w:t>Antidepressants</w:t>
            </w:r>
          </w:p>
        </w:tc>
        <w:tc>
          <w:tcPr>
            <w:tcW w:w="6235" w:type="dxa"/>
          </w:tcPr>
          <w:p w14:paraId="6CF05C39" w14:textId="7FD3B7EC" w:rsidR="003972BB" w:rsidRDefault="003972BB" w:rsidP="00367A73">
            <w:pPr>
              <w:ind w:firstLine="0"/>
            </w:pPr>
            <w:r>
              <w:t>Viibryd, Lexapro (2), Prozac</w:t>
            </w:r>
            <w:r w:rsidR="008028FD">
              <w:t xml:space="preserve"> (3)</w:t>
            </w:r>
            <w:r>
              <w:t>, Trazodone, Fluvoxamine</w:t>
            </w:r>
          </w:p>
        </w:tc>
      </w:tr>
      <w:tr w:rsidR="003972BB" w14:paraId="1FD226F0" w14:textId="77777777" w:rsidTr="003972BB">
        <w:tc>
          <w:tcPr>
            <w:tcW w:w="3120" w:type="dxa"/>
          </w:tcPr>
          <w:p w14:paraId="4584D5FF" w14:textId="3A55FBA2" w:rsidR="003972BB" w:rsidRDefault="003972BB" w:rsidP="00367A73">
            <w:pPr>
              <w:ind w:firstLine="0"/>
            </w:pPr>
            <w:r>
              <w:t>Birth Control</w:t>
            </w:r>
          </w:p>
        </w:tc>
        <w:tc>
          <w:tcPr>
            <w:tcW w:w="6235" w:type="dxa"/>
          </w:tcPr>
          <w:p w14:paraId="14125EF9" w14:textId="71D658D1" w:rsidR="003972BB" w:rsidRDefault="003972BB" w:rsidP="00367A73">
            <w:pPr>
              <w:ind w:firstLine="0"/>
            </w:pPr>
            <w:proofErr w:type="spellStart"/>
            <w:r>
              <w:t>Sprintec</w:t>
            </w:r>
            <w:proofErr w:type="spellEnd"/>
            <w:r>
              <w:t xml:space="preserve">, </w:t>
            </w:r>
            <w:proofErr w:type="spellStart"/>
            <w:r>
              <w:t>Yaz</w:t>
            </w:r>
            <w:proofErr w:type="spellEnd"/>
            <w:r>
              <w:t>, Oral Birth Control (</w:t>
            </w:r>
            <w:r w:rsidR="00484DEF">
              <w:t>4</w:t>
            </w:r>
            <w:r>
              <w:t>)</w:t>
            </w:r>
          </w:p>
        </w:tc>
      </w:tr>
      <w:tr w:rsidR="003972BB" w14:paraId="661B3D28" w14:textId="77777777" w:rsidTr="003972BB">
        <w:tc>
          <w:tcPr>
            <w:tcW w:w="3120" w:type="dxa"/>
          </w:tcPr>
          <w:p w14:paraId="5C2C8CAB" w14:textId="77777777" w:rsidR="003972BB" w:rsidRDefault="003972BB" w:rsidP="00367A73">
            <w:pPr>
              <w:ind w:firstLine="0"/>
            </w:pPr>
            <w:r>
              <w:t>Asthma</w:t>
            </w:r>
          </w:p>
        </w:tc>
        <w:tc>
          <w:tcPr>
            <w:tcW w:w="6235" w:type="dxa"/>
          </w:tcPr>
          <w:p w14:paraId="341D60E7" w14:textId="77777777" w:rsidR="003972BB" w:rsidRDefault="003972BB" w:rsidP="00367A73">
            <w:pPr>
              <w:ind w:firstLine="0"/>
            </w:pPr>
            <w:r>
              <w:t>Albuterol</w:t>
            </w:r>
          </w:p>
        </w:tc>
      </w:tr>
      <w:tr w:rsidR="003972BB" w14:paraId="0B584A69" w14:textId="77777777" w:rsidTr="003972BB">
        <w:tc>
          <w:tcPr>
            <w:tcW w:w="3120" w:type="dxa"/>
          </w:tcPr>
          <w:p w14:paraId="3E060D0F" w14:textId="77777777" w:rsidR="003972BB" w:rsidRDefault="003972BB" w:rsidP="00367A73">
            <w:pPr>
              <w:ind w:firstLine="0"/>
            </w:pPr>
            <w:r>
              <w:t>ADHD/ADD</w:t>
            </w:r>
          </w:p>
        </w:tc>
        <w:tc>
          <w:tcPr>
            <w:tcW w:w="6235" w:type="dxa"/>
          </w:tcPr>
          <w:p w14:paraId="092FD703" w14:textId="77777777" w:rsidR="003972BB" w:rsidRDefault="003972BB" w:rsidP="00367A73">
            <w:pPr>
              <w:ind w:firstLine="0"/>
            </w:pPr>
            <w:r>
              <w:t>Strattera</w:t>
            </w:r>
          </w:p>
        </w:tc>
      </w:tr>
      <w:tr w:rsidR="003972BB" w14:paraId="5DCFC35B" w14:textId="77777777" w:rsidTr="003972BB">
        <w:tc>
          <w:tcPr>
            <w:tcW w:w="3120" w:type="dxa"/>
          </w:tcPr>
          <w:p w14:paraId="552B5A16" w14:textId="77777777" w:rsidR="003972BB" w:rsidRDefault="003972BB" w:rsidP="00367A73">
            <w:pPr>
              <w:ind w:firstLine="0"/>
            </w:pPr>
            <w:r>
              <w:t>Allergy medication</w:t>
            </w:r>
          </w:p>
        </w:tc>
        <w:tc>
          <w:tcPr>
            <w:tcW w:w="6235" w:type="dxa"/>
          </w:tcPr>
          <w:p w14:paraId="7B2BE3D1" w14:textId="77777777" w:rsidR="003972BB" w:rsidRDefault="003972BB" w:rsidP="00367A73">
            <w:pPr>
              <w:ind w:firstLine="0"/>
            </w:pPr>
            <w:r>
              <w:t>Singular, Cetirizine, Allergy medication</w:t>
            </w:r>
          </w:p>
        </w:tc>
      </w:tr>
      <w:tr w:rsidR="003972BB" w14:paraId="3129A56A" w14:textId="77777777" w:rsidTr="003972BB">
        <w:tc>
          <w:tcPr>
            <w:tcW w:w="3120" w:type="dxa"/>
          </w:tcPr>
          <w:p w14:paraId="068672C6" w14:textId="77777777" w:rsidR="003972BB" w:rsidRDefault="003972BB" w:rsidP="00367A73">
            <w:pPr>
              <w:ind w:firstLine="0"/>
            </w:pPr>
            <w:r>
              <w:t>Other</w:t>
            </w:r>
          </w:p>
        </w:tc>
        <w:tc>
          <w:tcPr>
            <w:tcW w:w="6235" w:type="dxa"/>
          </w:tcPr>
          <w:p w14:paraId="6EEDBAF1" w14:textId="77777777" w:rsidR="003972BB" w:rsidRDefault="003972BB" w:rsidP="00367A73">
            <w:pPr>
              <w:ind w:firstLine="0"/>
            </w:pPr>
            <w:r>
              <w:t>Azathioprine, Propranolol, Zofran, Sulfasalazine, Omeprazole</w:t>
            </w:r>
          </w:p>
        </w:tc>
      </w:tr>
    </w:tbl>
    <w:p w14:paraId="694B5FE1" w14:textId="77777777" w:rsidR="003972BB" w:rsidRDefault="003972BB" w:rsidP="007D2BFB">
      <w:pPr>
        <w:ind w:firstLine="0"/>
      </w:pPr>
    </w:p>
    <w:tbl>
      <w:tblPr>
        <w:tblStyle w:val="TableGrid"/>
        <w:tblW w:w="0" w:type="auto"/>
        <w:tblLook w:val="04A0" w:firstRow="1" w:lastRow="0" w:firstColumn="1" w:lastColumn="0" w:noHBand="0" w:noVBand="1"/>
      </w:tblPr>
      <w:tblGrid>
        <w:gridCol w:w="3117"/>
        <w:gridCol w:w="3116"/>
        <w:gridCol w:w="3117"/>
      </w:tblGrid>
      <w:tr w:rsidR="007D2BFB" w14:paraId="4BABEE33" w14:textId="77777777" w:rsidTr="007D2BFB">
        <w:tc>
          <w:tcPr>
            <w:tcW w:w="3120" w:type="dxa"/>
          </w:tcPr>
          <w:p w14:paraId="51E48E75" w14:textId="5860DB3C" w:rsidR="007D2BFB" w:rsidRPr="007D2BFB" w:rsidRDefault="007D2BFB" w:rsidP="007D2BFB">
            <w:pPr>
              <w:ind w:firstLine="0"/>
              <w:rPr>
                <w:b/>
                <w:bCs/>
              </w:rPr>
            </w:pPr>
            <w:r w:rsidRPr="007D2BFB">
              <w:rPr>
                <w:b/>
                <w:bCs/>
              </w:rPr>
              <w:t>Smoking (nicotine)</w:t>
            </w:r>
          </w:p>
        </w:tc>
        <w:tc>
          <w:tcPr>
            <w:tcW w:w="3120" w:type="dxa"/>
          </w:tcPr>
          <w:p w14:paraId="4839F412" w14:textId="75F878EE" w:rsidR="007D2BFB" w:rsidRPr="007D2BFB" w:rsidRDefault="007D2BFB" w:rsidP="007D2BFB">
            <w:pPr>
              <w:ind w:firstLine="0"/>
              <w:rPr>
                <w:b/>
                <w:bCs/>
              </w:rPr>
            </w:pPr>
            <w:r w:rsidRPr="007D2BFB">
              <w:rPr>
                <w:b/>
                <w:bCs/>
              </w:rPr>
              <w:t>Total</w:t>
            </w:r>
          </w:p>
        </w:tc>
        <w:tc>
          <w:tcPr>
            <w:tcW w:w="3120" w:type="dxa"/>
          </w:tcPr>
          <w:p w14:paraId="72554102" w14:textId="670EBF7D" w:rsidR="007D2BFB" w:rsidRPr="007D2BFB" w:rsidRDefault="007D2BFB" w:rsidP="007D2BFB">
            <w:pPr>
              <w:ind w:firstLine="0"/>
              <w:rPr>
                <w:b/>
                <w:bCs/>
              </w:rPr>
            </w:pPr>
            <w:r w:rsidRPr="007D2BFB">
              <w:rPr>
                <w:b/>
                <w:bCs/>
              </w:rPr>
              <w:t>Percent</w:t>
            </w:r>
          </w:p>
        </w:tc>
      </w:tr>
      <w:tr w:rsidR="007D2BFB" w14:paraId="115D000A" w14:textId="77777777" w:rsidTr="007D2BFB">
        <w:tc>
          <w:tcPr>
            <w:tcW w:w="3120" w:type="dxa"/>
          </w:tcPr>
          <w:p w14:paraId="1DDDF9C3" w14:textId="1BEB6910" w:rsidR="007D2BFB" w:rsidRDefault="007D2BFB" w:rsidP="007D2BFB">
            <w:pPr>
              <w:ind w:firstLine="0"/>
            </w:pPr>
            <w:r>
              <w:t>Yes</w:t>
            </w:r>
          </w:p>
        </w:tc>
        <w:tc>
          <w:tcPr>
            <w:tcW w:w="3120" w:type="dxa"/>
          </w:tcPr>
          <w:p w14:paraId="67C38282" w14:textId="5E17B4EA" w:rsidR="007D2BFB" w:rsidRDefault="007D2BFB" w:rsidP="007D2BFB">
            <w:pPr>
              <w:ind w:firstLine="0"/>
            </w:pPr>
            <w:r>
              <w:t>1</w:t>
            </w:r>
          </w:p>
        </w:tc>
        <w:tc>
          <w:tcPr>
            <w:tcW w:w="3120" w:type="dxa"/>
          </w:tcPr>
          <w:p w14:paraId="527298CE" w14:textId="65D330D4" w:rsidR="007D2BFB" w:rsidRDefault="00484DEF" w:rsidP="007D2BFB">
            <w:pPr>
              <w:ind w:firstLine="0"/>
            </w:pPr>
            <w:r>
              <w:t>2.0</w:t>
            </w:r>
          </w:p>
        </w:tc>
      </w:tr>
      <w:tr w:rsidR="007D2BFB" w14:paraId="24F6DD95" w14:textId="77777777" w:rsidTr="007D2BFB">
        <w:tc>
          <w:tcPr>
            <w:tcW w:w="3120" w:type="dxa"/>
          </w:tcPr>
          <w:p w14:paraId="37D73402" w14:textId="43FD0E3B" w:rsidR="007D2BFB" w:rsidRDefault="007D2BFB" w:rsidP="007D2BFB">
            <w:pPr>
              <w:ind w:firstLine="0"/>
            </w:pPr>
            <w:r>
              <w:t>No</w:t>
            </w:r>
          </w:p>
        </w:tc>
        <w:tc>
          <w:tcPr>
            <w:tcW w:w="3120" w:type="dxa"/>
          </w:tcPr>
          <w:p w14:paraId="55F3094A" w14:textId="5C2EAE96" w:rsidR="007D2BFB" w:rsidRDefault="00484DEF" w:rsidP="007D2BFB">
            <w:pPr>
              <w:ind w:firstLine="0"/>
            </w:pPr>
            <w:r>
              <w:t>48</w:t>
            </w:r>
          </w:p>
        </w:tc>
        <w:tc>
          <w:tcPr>
            <w:tcW w:w="3120" w:type="dxa"/>
          </w:tcPr>
          <w:p w14:paraId="67B8508B" w14:textId="49A9FB9D" w:rsidR="007D2BFB" w:rsidRDefault="007D2BFB" w:rsidP="007D2BFB">
            <w:pPr>
              <w:ind w:firstLine="0"/>
            </w:pPr>
            <w:r>
              <w:t>98.</w:t>
            </w:r>
            <w:r w:rsidR="00484DEF">
              <w:t>0</w:t>
            </w:r>
          </w:p>
        </w:tc>
      </w:tr>
      <w:tr w:rsidR="007D2BFB" w14:paraId="66191DC7" w14:textId="77777777" w:rsidTr="007D2BFB">
        <w:tc>
          <w:tcPr>
            <w:tcW w:w="3120" w:type="dxa"/>
          </w:tcPr>
          <w:p w14:paraId="2D9F64FD" w14:textId="66446F84" w:rsidR="007D2BFB" w:rsidRPr="007D2BFB" w:rsidRDefault="007D2BFB" w:rsidP="007D2BFB">
            <w:pPr>
              <w:ind w:firstLine="0"/>
              <w:rPr>
                <w:b/>
                <w:bCs/>
              </w:rPr>
            </w:pPr>
            <w:r w:rsidRPr="007D2BFB">
              <w:rPr>
                <w:b/>
                <w:bCs/>
              </w:rPr>
              <w:t>Total</w:t>
            </w:r>
          </w:p>
        </w:tc>
        <w:tc>
          <w:tcPr>
            <w:tcW w:w="3120" w:type="dxa"/>
          </w:tcPr>
          <w:p w14:paraId="56F1F8CD" w14:textId="0E74A439" w:rsidR="007D2BFB" w:rsidRPr="007D2BFB" w:rsidRDefault="00484DEF" w:rsidP="007D2BFB">
            <w:pPr>
              <w:ind w:firstLine="0"/>
              <w:rPr>
                <w:b/>
                <w:bCs/>
              </w:rPr>
            </w:pPr>
            <w:r>
              <w:rPr>
                <w:b/>
                <w:bCs/>
              </w:rPr>
              <w:t>49</w:t>
            </w:r>
          </w:p>
        </w:tc>
        <w:tc>
          <w:tcPr>
            <w:tcW w:w="3120" w:type="dxa"/>
          </w:tcPr>
          <w:p w14:paraId="1BE2C7D6" w14:textId="6D365C94" w:rsidR="007D2BFB" w:rsidRPr="007D2BFB" w:rsidRDefault="007D2BFB" w:rsidP="007D2BFB">
            <w:pPr>
              <w:ind w:firstLine="0"/>
              <w:rPr>
                <w:b/>
                <w:bCs/>
              </w:rPr>
            </w:pPr>
            <w:r w:rsidRPr="007D2BFB">
              <w:rPr>
                <w:b/>
                <w:bCs/>
              </w:rPr>
              <w:t>100</w:t>
            </w:r>
          </w:p>
        </w:tc>
      </w:tr>
    </w:tbl>
    <w:p w14:paraId="624F6A6E" w14:textId="5DFD09C8" w:rsidR="007D2BFB" w:rsidRDefault="007D2BFB" w:rsidP="007D2BFB">
      <w:pPr>
        <w:ind w:firstLine="0"/>
      </w:pPr>
    </w:p>
    <w:tbl>
      <w:tblPr>
        <w:tblStyle w:val="TableGrid"/>
        <w:tblW w:w="0" w:type="auto"/>
        <w:tblLook w:val="04A0" w:firstRow="1" w:lastRow="0" w:firstColumn="1" w:lastColumn="0" w:noHBand="0" w:noVBand="1"/>
      </w:tblPr>
      <w:tblGrid>
        <w:gridCol w:w="3118"/>
        <w:gridCol w:w="3116"/>
        <w:gridCol w:w="3116"/>
      </w:tblGrid>
      <w:tr w:rsidR="007D2BFB" w14:paraId="4789ED24" w14:textId="77777777" w:rsidTr="007D2BFB">
        <w:tc>
          <w:tcPr>
            <w:tcW w:w="3120" w:type="dxa"/>
          </w:tcPr>
          <w:p w14:paraId="23333A63" w14:textId="30441BBC" w:rsidR="007D2BFB" w:rsidRPr="007D2BFB" w:rsidRDefault="007D2BFB" w:rsidP="007D2BFB">
            <w:pPr>
              <w:ind w:firstLine="0"/>
              <w:rPr>
                <w:b/>
                <w:bCs/>
              </w:rPr>
            </w:pPr>
            <w:r w:rsidRPr="007D2BFB">
              <w:rPr>
                <w:b/>
                <w:bCs/>
              </w:rPr>
              <w:t>Alcohol Consumption</w:t>
            </w:r>
          </w:p>
        </w:tc>
        <w:tc>
          <w:tcPr>
            <w:tcW w:w="3120" w:type="dxa"/>
          </w:tcPr>
          <w:p w14:paraId="7F53B896" w14:textId="001D080C" w:rsidR="007D2BFB" w:rsidRPr="007D2BFB" w:rsidRDefault="007D2BFB" w:rsidP="007D2BFB">
            <w:pPr>
              <w:ind w:firstLine="0"/>
              <w:rPr>
                <w:b/>
                <w:bCs/>
              </w:rPr>
            </w:pPr>
            <w:r w:rsidRPr="007D2BFB">
              <w:rPr>
                <w:b/>
                <w:bCs/>
              </w:rPr>
              <w:t>Total</w:t>
            </w:r>
          </w:p>
        </w:tc>
        <w:tc>
          <w:tcPr>
            <w:tcW w:w="3120" w:type="dxa"/>
          </w:tcPr>
          <w:p w14:paraId="49DD3D6A" w14:textId="5735E2C1" w:rsidR="007D2BFB" w:rsidRPr="007D2BFB" w:rsidRDefault="007D2BFB" w:rsidP="007D2BFB">
            <w:pPr>
              <w:ind w:firstLine="0"/>
              <w:rPr>
                <w:b/>
                <w:bCs/>
              </w:rPr>
            </w:pPr>
            <w:r w:rsidRPr="007D2BFB">
              <w:rPr>
                <w:b/>
                <w:bCs/>
              </w:rPr>
              <w:t>Percent</w:t>
            </w:r>
          </w:p>
        </w:tc>
      </w:tr>
      <w:tr w:rsidR="007D2BFB" w14:paraId="6426D9BB" w14:textId="77777777" w:rsidTr="007D2BFB">
        <w:tc>
          <w:tcPr>
            <w:tcW w:w="3120" w:type="dxa"/>
          </w:tcPr>
          <w:p w14:paraId="115B4B8F" w14:textId="17878ADC" w:rsidR="007D2BFB" w:rsidRDefault="007D2BFB" w:rsidP="007D2BFB">
            <w:pPr>
              <w:ind w:firstLine="0"/>
            </w:pPr>
            <w:r>
              <w:t>Yes</w:t>
            </w:r>
          </w:p>
        </w:tc>
        <w:tc>
          <w:tcPr>
            <w:tcW w:w="3120" w:type="dxa"/>
          </w:tcPr>
          <w:p w14:paraId="766E5961" w14:textId="79A93C2E" w:rsidR="007D2BFB" w:rsidRDefault="007D2BFB" w:rsidP="007D2BFB">
            <w:pPr>
              <w:ind w:firstLine="0"/>
            </w:pPr>
            <w:r>
              <w:t>1</w:t>
            </w:r>
            <w:r w:rsidR="00484DEF">
              <w:t>4</w:t>
            </w:r>
          </w:p>
        </w:tc>
        <w:tc>
          <w:tcPr>
            <w:tcW w:w="3120" w:type="dxa"/>
          </w:tcPr>
          <w:p w14:paraId="0267D36E" w14:textId="713663B7" w:rsidR="007D2BFB" w:rsidRDefault="007D2BFB" w:rsidP="007D2BFB">
            <w:pPr>
              <w:ind w:firstLine="0"/>
            </w:pPr>
            <w:r>
              <w:t>2</w:t>
            </w:r>
            <w:r w:rsidR="00484DEF">
              <w:t>8.6</w:t>
            </w:r>
          </w:p>
        </w:tc>
      </w:tr>
      <w:tr w:rsidR="007D2BFB" w14:paraId="6C6670CD" w14:textId="77777777" w:rsidTr="007D2BFB">
        <w:tc>
          <w:tcPr>
            <w:tcW w:w="3120" w:type="dxa"/>
          </w:tcPr>
          <w:p w14:paraId="417BD2AC" w14:textId="60D5C557" w:rsidR="007D2BFB" w:rsidRDefault="007D2BFB" w:rsidP="007D2BFB">
            <w:pPr>
              <w:ind w:firstLine="0"/>
            </w:pPr>
            <w:r>
              <w:t>No</w:t>
            </w:r>
          </w:p>
        </w:tc>
        <w:tc>
          <w:tcPr>
            <w:tcW w:w="3120" w:type="dxa"/>
          </w:tcPr>
          <w:p w14:paraId="464DE501" w14:textId="1D93B39B" w:rsidR="007D2BFB" w:rsidRDefault="007D2BFB" w:rsidP="007D2BFB">
            <w:pPr>
              <w:ind w:firstLine="0"/>
            </w:pPr>
            <w:r>
              <w:t>3</w:t>
            </w:r>
            <w:r w:rsidR="00484DEF">
              <w:t>5</w:t>
            </w:r>
          </w:p>
        </w:tc>
        <w:tc>
          <w:tcPr>
            <w:tcW w:w="3120" w:type="dxa"/>
          </w:tcPr>
          <w:p w14:paraId="35572D02" w14:textId="19325732" w:rsidR="007D2BFB" w:rsidRDefault="007D2BFB" w:rsidP="007D2BFB">
            <w:pPr>
              <w:ind w:firstLine="0"/>
            </w:pPr>
            <w:r>
              <w:t>7</w:t>
            </w:r>
            <w:r w:rsidR="00484DEF">
              <w:t>1.4</w:t>
            </w:r>
          </w:p>
        </w:tc>
      </w:tr>
      <w:tr w:rsidR="007D2BFB" w14:paraId="04767947" w14:textId="77777777" w:rsidTr="007D2BFB">
        <w:tc>
          <w:tcPr>
            <w:tcW w:w="3120" w:type="dxa"/>
          </w:tcPr>
          <w:p w14:paraId="310268D3" w14:textId="4CA1A430" w:rsidR="007D2BFB" w:rsidRPr="007D2BFB" w:rsidRDefault="007D2BFB" w:rsidP="007D2BFB">
            <w:pPr>
              <w:ind w:firstLine="0"/>
              <w:rPr>
                <w:b/>
                <w:bCs/>
              </w:rPr>
            </w:pPr>
            <w:r w:rsidRPr="007D2BFB">
              <w:rPr>
                <w:b/>
                <w:bCs/>
              </w:rPr>
              <w:lastRenderedPageBreak/>
              <w:t>Total</w:t>
            </w:r>
          </w:p>
        </w:tc>
        <w:tc>
          <w:tcPr>
            <w:tcW w:w="3120" w:type="dxa"/>
          </w:tcPr>
          <w:p w14:paraId="447C4656" w14:textId="30244E89" w:rsidR="007D2BFB" w:rsidRPr="007D2BFB" w:rsidRDefault="00484DEF" w:rsidP="007D2BFB">
            <w:pPr>
              <w:ind w:firstLine="0"/>
              <w:rPr>
                <w:b/>
                <w:bCs/>
              </w:rPr>
            </w:pPr>
            <w:r>
              <w:rPr>
                <w:b/>
                <w:bCs/>
              </w:rPr>
              <w:t>49</w:t>
            </w:r>
          </w:p>
        </w:tc>
        <w:tc>
          <w:tcPr>
            <w:tcW w:w="3120" w:type="dxa"/>
          </w:tcPr>
          <w:p w14:paraId="6EA3295B" w14:textId="12B5931F" w:rsidR="007D2BFB" w:rsidRPr="007D2BFB" w:rsidRDefault="007D2BFB" w:rsidP="007D2BFB">
            <w:pPr>
              <w:ind w:firstLine="0"/>
              <w:rPr>
                <w:b/>
                <w:bCs/>
              </w:rPr>
            </w:pPr>
            <w:r w:rsidRPr="007D2BFB">
              <w:rPr>
                <w:b/>
                <w:bCs/>
              </w:rPr>
              <w:t>100</w:t>
            </w:r>
          </w:p>
        </w:tc>
      </w:tr>
    </w:tbl>
    <w:p w14:paraId="4F6D3385" w14:textId="5AD9CFB2" w:rsidR="007D2BFB" w:rsidRDefault="007D2BFB" w:rsidP="007D2BFB">
      <w:pPr>
        <w:ind w:firstLine="0"/>
      </w:pPr>
    </w:p>
    <w:tbl>
      <w:tblPr>
        <w:tblStyle w:val="TableGrid"/>
        <w:tblW w:w="0" w:type="auto"/>
        <w:tblLook w:val="04A0" w:firstRow="1" w:lastRow="0" w:firstColumn="1" w:lastColumn="0" w:noHBand="0" w:noVBand="1"/>
      </w:tblPr>
      <w:tblGrid>
        <w:gridCol w:w="3118"/>
        <w:gridCol w:w="3116"/>
        <w:gridCol w:w="3116"/>
      </w:tblGrid>
      <w:tr w:rsidR="007D2BFB" w14:paraId="0FBE3631" w14:textId="77777777" w:rsidTr="007D2BFB">
        <w:tc>
          <w:tcPr>
            <w:tcW w:w="3120" w:type="dxa"/>
          </w:tcPr>
          <w:p w14:paraId="4ADCA1B3" w14:textId="4E8D2D07" w:rsidR="007D2BFB" w:rsidRPr="007D2BFB" w:rsidRDefault="007D2BFB" w:rsidP="007D2BFB">
            <w:pPr>
              <w:ind w:firstLine="0"/>
              <w:rPr>
                <w:b/>
                <w:bCs/>
              </w:rPr>
            </w:pPr>
            <w:r w:rsidRPr="007D2BFB">
              <w:rPr>
                <w:b/>
                <w:bCs/>
              </w:rPr>
              <w:t>Caffeine Consumption</w:t>
            </w:r>
          </w:p>
        </w:tc>
        <w:tc>
          <w:tcPr>
            <w:tcW w:w="3120" w:type="dxa"/>
          </w:tcPr>
          <w:p w14:paraId="0D343D0D" w14:textId="3EFA1A4D" w:rsidR="007D2BFB" w:rsidRPr="007D2BFB" w:rsidRDefault="007D2BFB" w:rsidP="007D2BFB">
            <w:pPr>
              <w:ind w:firstLine="0"/>
              <w:rPr>
                <w:b/>
                <w:bCs/>
              </w:rPr>
            </w:pPr>
            <w:r w:rsidRPr="007D2BFB">
              <w:rPr>
                <w:b/>
                <w:bCs/>
              </w:rPr>
              <w:t>Total</w:t>
            </w:r>
          </w:p>
        </w:tc>
        <w:tc>
          <w:tcPr>
            <w:tcW w:w="3120" w:type="dxa"/>
          </w:tcPr>
          <w:p w14:paraId="2816DA37" w14:textId="5AC56765" w:rsidR="007D2BFB" w:rsidRPr="007D2BFB" w:rsidRDefault="007D2BFB" w:rsidP="007D2BFB">
            <w:pPr>
              <w:ind w:firstLine="0"/>
              <w:rPr>
                <w:b/>
                <w:bCs/>
              </w:rPr>
            </w:pPr>
            <w:r w:rsidRPr="007D2BFB">
              <w:rPr>
                <w:b/>
                <w:bCs/>
              </w:rPr>
              <w:t>Percent</w:t>
            </w:r>
          </w:p>
        </w:tc>
      </w:tr>
      <w:tr w:rsidR="007D2BFB" w14:paraId="1505A678" w14:textId="77777777" w:rsidTr="007D2BFB">
        <w:tc>
          <w:tcPr>
            <w:tcW w:w="3120" w:type="dxa"/>
          </w:tcPr>
          <w:p w14:paraId="0F31B0D9" w14:textId="7DBE7678" w:rsidR="007D2BFB" w:rsidRDefault="007D2BFB" w:rsidP="007D2BFB">
            <w:pPr>
              <w:ind w:firstLine="0"/>
            </w:pPr>
            <w:r>
              <w:t>Yes</w:t>
            </w:r>
          </w:p>
        </w:tc>
        <w:tc>
          <w:tcPr>
            <w:tcW w:w="3120" w:type="dxa"/>
          </w:tcPr>
          <w:p w14:paraId="005A2D68" w14:textId="5E5BBCE8" w:rsidR="007D2BFB" w:rsidRDefault="007D2BFB" w:rsidP="007D2BFB">
            <w:pPr>
              <w:ind w:firstLine="0"/>
            </w:pPr>
            <w:r>
              <w:t>4</w:t>
            </w:r>
            <w:r w:rsidR="00484DEF">
              <w:t>2</w:t>
            </w:r>
          </w:p>
        </w:tc>
        <w:tc>
          <w:tcPr>
            <w:tcW w:w="3120" w:type="dxa"/>
          </w:tcPr>
          <w:p w14:paraId="1E8CA794" w14:textId="67DBE103" w:rsidR="007D2BFB" w:rsidRDefault="007D2BFB" w:rsidP="007D2BFB">
            <w:pPr>
              <w:ind w:firstLine="0"/>
            </w:pPr>
            <w:r>
              <w:t>8</w:t>
            </w:r>
            <w:r w:rsidR="00484DEF">
              <w:t>5.7</w:t>
            </w:r>
          </w:p>
        </w:tc>
      </w:tr>
      <w:tr w:rsidR="007D2BFB" w14:paraId="052B5966" w14:textId="77777777" w:rsidTr="007D2BFB">
        <w:tc>
          <w:tcPr>
            <w:tcW w:w="3120" w:type="dxa"/>
          </w:tcPr>
          <w:p w14:paraId="14D01952" w14:textId="17F1757C" w:rsidR="007D2BFB" w:rsidRDefault="007D2BFB" w:rsidP="007D2BFB">
            <w:pPr>
              <w:ind w:firstLine="0"/>
            </w:pPr>
            <w:r>
              <w:t>No</w:t>
            </w:r>
          </w:p>
        </w:tc>
        <w:tc>
          <w:tcPr>
            <w:tcW w:w="3120" w:type="dxa"/>
          </w:tcPr>
          <w:p w14:paraId="0E681C75" w14:textId="01380DE0" w:rsidR="007D2BFB" w:rsidRDefault="007D2BFB" w:rsidP="007D2BFB">
            <w:pPr>
              <w:ind w:firstLine="0"/>
            </w:pPr>
            <w:r>
              <w:t>7</w:t>
            </w:r>
          </w:p>
        </w:tc>
        <w:tc>
          <w:tcPr>
            <w:tcW w:w="3120" w:type="dxa"/>
          </w:tcPr>
          <w:p w14:paraId="4B187AC9" w14:textId="1AB3DC65" w:rsidR="007D2BFB" w:rsidRDefault="007D2BFB" w:rsidP="007D2BFB">
            <w:pPr>
              <w:ind w:firstLine="0"/>
            </w:pPr>
            <w:r>
              <w:t>1</w:t>
            </w:r>
            <w:r w:rsidR="00484DEF">
              <w:t>4.3</w:t>
            </w:r>
          </w:p>
        </w:tc>
      </w:tr>
      <w:tr w:rsidR="007D2BFB" w14:paraId="333105C4" w14:textId="77777777" w:rsidTr="007D2BFB">
        <w:tc>
          <w:tcPr>
            <w:tcW w:w="3120" w:type="dxa"/>
          </w:tcPr>
          <w:p w14:paraId="6B115281" w14:textId="42E0F7AF" w:rsidR="007D2BFB" w:rsidRPr="007D2BFB" w:rsidRDefault="007D2BFB" w:rsidP="007D2BFB">
            <w:pPr>
              <w:ind w:firstLine="0"/>
              <w:rPr>
                <w:b/>
                <w:bCs/>
              </w:rPr>
            </w:pPr>
            <w:r w:rsidRPr="007D2BFB">
              <w:rPr>
                <w:b/>
                <w:bCs/>
              </w:rPr>
              <w:t>Total</w:t>
            </w:r>
          </w:p>
        </w:tc>
        <w:tc>
          <w:tcPr>
            <w:tcW w:w="3120" w:type="dxa"/>
          </w:tcPr>
          <w:p w14:paraId="1296FE66" w14:textId="6CDA7B90" w:rsidR="007D2BFB" w:rsidRPr="007D2BFB" w:rsidRDefault="00484DEF" w:rsidP="007D2BFB">
            <w:pPr>
              <w:ind w:firstLine="0"/>
              <w:rPr>
                <w:b/>
                <w:bCs/>
              </w:rPr>
            </w:pPr>
            <w:r>
              <w:rPr>
                <w:b/>
                <w:bCs/>
              </w:rPr>
              <w:t>49</w:t>
            </w:r>
          </w:p>
        </w:tc>
        <w:tc>
          <w:tcPr>
            <w:tcW w:w="3120" w:type="dxa"/>
          </w:tcPr>
          <w:p w14:paraId="45AA594F" w14:textId="0AB1CA81" w:rsidR="007D2BFB" w:rsidRPr="007D2BFB" w:rsidRDefault="007D2BFB" w:rsidP="007D2BFB">
            <w:pPr>
              <w:ind w:firstLine="0"/>
              <w:rPr>
                <w:b/>
                <w:bCs/>
              </w:rPr>
            </w:pPr>
            <w:r w:rsidRPr="007D2BFB">
              <w:rPr>
                <w:b/>
                <w:bCs/>
              </w:rPr>
              <w:t>100</w:t>
            </w:r>
          </w:p>
        </w:tc>
      </w:tr>
    </w:tbl>
    <w:p w14:paraId="7101CBC8" w14:textId="7366BE8A" w:rsidR="007D2BFB" w:rsidRDefault="007D2BFB" w:rsidP="007D2BFB">
      <w:pPr>
        <w:ind w:firstLine="0"/>
      </w:pPr>
    </w:p>
    <w:tbl>
      <w:tblPr>
        <w:tblStyle w:val="TableGrid"/>
        <w:tblW w:w="0" w:type="auto"/>
        <w:tblLook w:val="04A0" w:firstRow="1" w:lastRow="0" w:firstColumn="1" w:lastColumn="0" w:noHBand="0" w:noVBand="1"/>
      </w:tblPr>
      <w:tblGrid>
        <w:gridCol w:w="3117"/>
        <w:gridCol w:w="3116"/>
        <w:gridCol w:w="3117"/>
      </w:tblGrid>
      <w:tr w:rsidR="007D2BFB" w14:paraId="2EBA0928" w14:textId="77777777" w:rsidTr="007D2BFB">
        <w:tc>
          <w:tcPr>
            <w:tcW w:w="3120" w:type="dxa"/>
          </w:tcPr>
          <w:p w14:paraId="2E09329F" w14:textId="53BC44A4" w:rsidR="007D2BFB" w:rsidRPr="007D2BFB" w:rsidRDefault="007D2BFB" w:rsidP="007D2BFB">
            <w:pPr>
              <w:ind w:firstLine="0"/>
              <w:rPr>
                <w:b/>
                <w:bCs/>
              </w:rPr>
            </w:pPr>
            <w:r w:rsidRPr="007D2BFB">
              <w:rPr>
                <w:b/>
                <w:bCs/>
              </w:rPr>
              <w:t>Personal History of Anxiety</w:t>
            </w:r>
          </w:p>
        </w:tc>
        <w:tc>
          <w:tcPr>
            <w:tcW w:w="3120" w:type="dxa"/>
          </w:tcPr>
          <w:p w14:paraId="31E7CB04" w14:textId="594E61A2" w:rsidR="007D2BFB" w:rsidRPr="007D2BFB" w:rsidRDefault="007D2BFB" w:rsidP="007D2BFB">
            <w:pPr>
              <w:ind w:firstLine="0"/>
              <w:rPr>
                <w:b/>
                <w:bCs/>
              </w:rPr>
            </w:pPr>
            <w:r w:rsidRPr="007D2BFB">
              <w:rPr>
                <w:b/>
                <w:bCs/>
              </w:rPr>
              <w:t xml:space="preserve">Total </w:t>
            </w:r>
          </w:p>
        </w:tc>
        <w:tc>
          <w:tcPr>
            <w:tcW w:w="3120" w:type="dxa"/>
          </w:tcPr>
          <w:p w14:paraId="24641659" w14:textId="550BA993" w:rsidR="007D2BFB" w:rsidRPr="007D2BFB" w:rsidRDefault="007D2BFB" w:rsidP="007D2BFB">
            <w:pPr>
              <w:ind w:firstLine="0"/>
              <w:rPr>
                <w:b/>
                <w:bCs/>
              </w:rPr>
            </w:pPr>
            <w:r w:rsidRPr="007D2BFB">
              <w:rPr>
                <w:b/>
                <w:bCs/>
              </w:rPr>
              <w:t>Percent</w:t>
            </w:r>
          </w:p>
        </w:tc>
      </w:tr>
      <w:tr w:rsidR="007D2BFB" w14:paraId="60081C7C" w14:textId="77777777" w:rsidTr="007D2BFB">
        <w:tc>
          <w:tcPr>
            <w:tcW w:w="3120" w:type="dxa"/>
          </w:tcPr>
          <w:p w14:paraId="31FE1F8B" w14:textId="5F2850CB" w:rsidR="007D2BFB" w:rsidRDefault="007D2BFB" w:rsidP="007D2BFB">
            <w:pPr>
              <w:ind w:firstLine="0"/>
            </w:pPr>
            <w:r>
              <w:t>Yes</w:t>
            </w:r>
          </w:p>
        </w:tc>
        <w:tc>
          <w:tcPr>
            <w:tcW w:w="3120" w:type="dxa"/>
          </w:tcPr>
          <w:p w14:paraId="7D0CF36E" w14:textId="46C65016" w:rsidR="007D2BFB" w:rsidRDefault="007D2BFB" w:rsidP="007D2BFB">
            <w:pPr>
              <w:ind w:firstLine="0"/>
            </w:pPr>
            <w:r>
              <w:t>2</w:t>
            </w:r>
            <w:r w:rsidR="00AB6F8B">
              <w:t>4</w:t>
            </w:r>
          </w:p>
        </w:tc>
        <w:tc>
          <w:tcPr>
            <w:tcW w:w="3120" w:type="dxa"/>
          </w:tcPr>
          <w:p w14:paraId="74E3BE4A" w14:textId="12D422FC" w:rsidR="007D2BFB" w:rsidRDefault="007D2BFB" w:rsidP="007D2BFB">
            <w:pPr>
              <w:ind w:firstLine="0"/>
            </w:pPr>
            <w:r>
              <w:t>4</w:t>
            </w:r>
            <w:r w:rsidR="00AB6F8B">
              <w:t>9.0</w:t>
            </w:r>
          </w:p>
        </w:tc>
      </w:tr>
      <w:tr w:rsidR="007D2BFB" w14:paraId="56AD7CE9" w14:textId="77777777" w:rsidTr="007D2BFB">
        <w:tc>
          <w:tcPr>
            <w:tcW w:w="3120" w:type="dxa"/>
          </w:tcPr>
          <w:p w14:paraId="3239A7C6" w14:textId="0FE72C22" w:rsidR="007D2BFB" w:rsidRDefault="007D2BFB" w:rsidP="007D2BFB">
            <w:pPr>
              <w:ind w:firstLine="0"/>
            </w:pPr>
            <w:r>
              <w:t>No</w:t>
            </w:r>
          </w:p>
        </w:tc>
        <w:tc>
          <w:tcPr>
            <w:tcW w:w="3120" w:type="dxa"/>
          </w:tcPr>
          <w:p w14:paraId="68E631E4" w14:textId="02CE0137" w:rsidR="007D2BFB" w:rsidRDefault="007D2BFB" w:rsidP="007D2BFB">
            <w:pPr>
              <w:ind w:firstLine="0"/>
            </w:pPr>
            <w:r>
              <w:t>2</w:t>
            </w:r>
            <w:r w:rsidR="00AB6F8B">
              <w:t>5</w:t>
            </w:r>
          </w:p>
        </w:tc>
        <w:tc>
          <w:tcPr>
            <w:tcW w:w="3120" w:type="dxa"/>
          </w:tcPr>
          <w:p w14:paraId="6214E54C" w14:textId="1093255A" w:rsidR="007D2BFB" w:rsidRDefault="007D2BFB" w:rsidP="007D2BFB">
            <w:pPr>
              <w:ind w:firstLine="0"/>
            </w:pPr>
            <w:r>
              <w:t>5</w:t>
            </w:r>
            <w:r w:rsidR="00AB6F8B">
              <w:t>1.0</w:t>
            </w:r>
          </w:p>
        </w:tc>
      </w:tr>
      <w:tr w:rsidR="007D2BFB" w14:paraId="7A7E1DCC" w14:textId="77777777" w:rsidTr="007D2BFB">
        <w:tc>
          <w:tcPr>
            <w:tcW w:w="3120" w:type="dxa"/>
          </w:tcPr>
          <w:p w14:paraId="589DCA7D" w14:textId="42294521" w:rsidR="007D2BFB" w:rsidRPr="007D2BFB" w:rsidRDefault="007D2BFB" w:rsidP="007D2BFB">
            <w:pPr>
              <w:ind w:firstLine="0"/>
              <w:rPr>
                <w:b/>
                <w:bCs/>
              </w:rPr>
            </w:pPr>
            <w:r w:rsidRPr="007D2BFB">
              <w:rPr>
                <w:b/>
                <w:bCs/>
              </w:rPr>
              <w:t>Total</w:t>
            </w:r>
          </w:p>
        </w:tc>
        <w:tc>
          <w:tcPr>
            <w:tcW w:w="3120" w:type="dxa"/>
          </w:tcPr>
          <w:p w14:paraId="386E0111" w14:textId="1A2AAAE6" w:rsidR="007D2BFB" w:rsidRPr="007D2BFB" w:rsidRDefault="00484DEF" w:rsidP="007D2BFB">
            <w:pPr>
              <w:ind w:firstLine="0"/>
              <w:rPr>
                <w:b/>
                <w:bCs/>
              </w:rPr>
            </w:pPr>
            <w:r>
              <w:rPr>
                <w:b/>
                <w:bCs/>
              </w:rPr>
              <w:t>49</w:t>
            </w:r>
          </w:p>
        </w:tc>
        <w:tc>
          <w:tcPr>
            <w:tcW w:w="3120" w:type="dxa"/>
          </w:tcPr>
          <w:p w14:paraId="6F2BB2FA" w14:textId="6E734856" w:rsidR="007D2BFB" w:rsidRPr="007D2BFB" w:rsidRDefault="007D2BFB" w:rsidP="007D2BFB">
            <w:pPr>
              <w:ind w:firstLine="0"/>
              <w:rPr>
                <w:b/>
                <w:bCs/>
              </w:rPr>
            </w:pPr>
            <w:r w:rsidRPr="007D2BFB">
              <w:rPr>
                <w:b/>
                <w:bCs/>
              </w:rPr>
              <w:t>100</w:t>
            </w:r>
          </w:p>
        </w:tc>
      </w:tr>
    </w:tbl>
    <w:p w14:paraId="47A8A9EC" w14:textId="230CB5EC" w:rsidR="007D2BFB" w:rsidRDefault="007D2BFB" w:rsidP="007D2BFB">
      <w:pPr>
        <w:ind w:firstLine="0"/>
      </w:pPr>
    </w:p>
    <w:tbl>
      <w:tblPr>
        <w:tblStyle w:val="TableGrid"/>
        <w:tblW w:w="0" w:type="auto"/>
        <w:tblLook w:val="04A0" w:firstRow="1" w:lastRow="0" w:firstColumn="1" w:lastColumn="0" w:noHBand="0" w:noVBand="1"/>
      </w:tblPr>
      <w:tblGrid>
        <w:gridCol w:w="3117"/>
        <w:gridCol w:w="3116"/>
        <w:gridCol w:w="3117"/>
      </w:tblGrid>
      <w:tr w:rsidR="007D2BFB" w14:paraId="2F8CD023" w14:textId="77777777" w:rsidTr="007D2BFB">
        <w:tc>
          <w:tcPr>
            <w:tcW w:w="3120" w:type="dxa"/>
          </w:tcPr>
          <w:p w14:paraId="4DF045B7" w14:textId="4989D245" w:rsidR="007D2BFB" w:rsidRPr="007D2BFB" w:rsidRDefault="007D2BFB" w:rsidP="007D2BFB">
            <w:pPr>
              <w:ind w:firstLine="0"/>
              <w:rPr>
                <w:b/>
                <w:bCs/>
              </w:rPr>
            </w:pPr>
            <w:r w:rsidRPr="007D2BFB">
              <w:rPr>
                <w:b/>
                <w:bCs/>
              </w:rPr>
              <w:t>Family History of Anxiety</w:t>
            </w:r>
          </w:p>
        </w:tc>
        <w:tc>
          <w:tcPr>
            <w:tcW w:w="3120" w:type="dxa"/>
          </w:tcPr>
          <w:p w14:paraId="15AF5B85" w14:textId="38AADDF2" w:rsidR="007D2BFB" w:rsidRPr="007D2BFB" w:rsidRDefault="007D2BFB" w:rsidP="007D2BFB">
            <w:pPr>
              <w:ind w:firstLine="0"/>
              <w:rPr>
                <w:b/>
                <w:bCs/>
              </w:rPr>
            </w:pPr>
            <w:r w:rsidRPr="007D2BFB">
              <w:rPr>
                <w:b/>
                <w:bCs/>
              </w:rPr>
              <w:t>Total</w:t>
            </w:r>
          </w:p>
        </w:tc>
        <w:tc>
          <w:tcPr>
            <w:tcW w:w="3120" w:type="dxa"/>
          </w:tcPr>
          <w:p w14:paraId="0356AF39" w14:textId="7A78D41E" w:rsidR="007D2BFB" w:rsidRPr="007D2BFB" w:rsidRDefault="007D2BFB" w:rsidP="007D2BFB">
            <w:pPr>
              <w:ind w:firstLine="0"/>
              <w:rPr>
                <w:b/>
                <w:bCs/>
              </w:rPr>
            </w:pPr>
            <w:r w:rsidRPr="007D2BFB">
              <w:rPr>
                <w:b/>
                <w:bCs/>
              </w:rPr>
              <w:t>Percent</w:t>
            </w:r>
          </w:p>
        </w:tc>
      </w:tr>
      <w:tr w:rsidR="007D2BFB" w14:paraId="630937E7" w14:textId="77777777" w:rsidTr="007D2BFB">
        <w:tc>
          <w:tcPr>
            <w:tcW w:w="3120" w:type="dxa"/>
          </w:tcPr>
          <w:p w14:paraId="48198B8E" w14:textId="118C00FC" w:rsidR="007D2BFB" w:rsidRDefault="007D2BFB" w:rsidP="007D2BFB">
            <w:pPr>
              <w:ind w:firstLine="0"/>
            </w:pPr>
            <w:r>
              <w:t>Yes</w:t>
            </w:r>
          </w:p>
        </w:tc>
        <w:tc>
          <w:tcPr>
            <w:tcW w:w="3120" w:type="dxa"/>
          </w:tcPr>
          <w:p w14:paraId="170BB34F" w14:textId="163CB5EB" w:rsidR="007D2BFB" w:rsidRDefault="007D2BFB" w:rsidP="007D2BFB">
            <w:pPr>
              <w:ind w:firstLine="0"/>
            </w:pPr>
            <w:r>
              <w:t>2</w:t>
            </w:r>
            <w:r w:rsidR="00AB6F8B">
              <w:t>3</w:t>
            </w:r>
          </w:p>
        </w:tc>
        <w:tc>
          <w:tcPr>
            <w:tcW w:w="3120" w:type="dxa"/>
          </w:tcPr>
          <w:p w14:paraId="36EAA6AE" w14:textId="652FBE6E" w:rsidR="007D2BFB" w:rsidRDefault="007D2BFB" w:rsidP="007D2BFB">
            <w:pPr>
              <w:ind w:firstLine="0"/>
            </w:pPr>
            <w:r>
              <w:t>4</w:t>
            </w:r>
            <w:r w:rsidR="00AB6F8B">
              <w:t>6.9</w:t>
            </w:r>
          </w:p>
        </w:tc>
      </w:tr>
      <w:tr w:rsidR="007D2BFB" w14:paraId="3B5F49AF" w14:textId="77777777" w:rsidTr="007D2BFB">
        <w:tc>
          <w:tcPr>
            <w:tcW w:w="3120" w:type="dxa"/>
          </w:tcPr>
          <w:p w14:paraId="73B278D3" w14:textId="1BB14199" w:rsidR="007D2BFB" w:rsidRDefault="007D2BFB" w:rsidP="007D2BFB">
            <w:pPr>
              <w:ind w:firstLine="0"/>
            </w:pPr>
            <w:r>
              <w:t>No</w:t>
            </w:r>
          </w:p>
        </w:tc>
        <w:tc>
          <w:tcPr>
            <w:tcW w:w="3120" w:type="dxa"/>
          </w:tcPr>
          <w:p w14:paraId="20D223AD" w14:textId="6E6DC988" w:rsidR="007D2BFB" w:rsidRDefault="007D2BFB" w:rsidP="007D2BFB">
            <w:pPr>
              <w:ind w:firstLine="0"/>
            </w:pPr>
            <w:r>
              <w:t>2</w:t>
            </w:r>
            <w:r w:rsidR="00AB6F8B">
              <w:t>6</w:t>
            </w:r>
          </w:p>
        </w:tc>
        <w:tc>
          <w:tcPr>
            <w:tcW w:w="3120" w:type="dxa"/>
          </w:tcPr>
          <w:p w14:paraId="38AF626A" w14:textId="04EC9C41" w:rsidR="007D2BFB" w:rsidRDefault="007D2BFB" w:rsidP="007D2BFB">
            <w:pPr>
              <w:ind w:firstLine="0"/>
            </w:pPr>
            <w:r>
              <w:t>5</w:t>
            </w:r>
            <w:r w:rsidR="00AB6F8B">
              <w:t>3.1</w:t>
            </w:r>
          </w:p>
        </w:tc>
      </w:tr>
      <w:tr w:rsidR="007D2BFB" w14:paraId="64596EFF" w14:textId="77777777" w:rsidTr="007D2BFB">
        <w:tc>
          <w:tcPr>
            <w:tcW w:w="3120" w:type="dxa"/>
          </w:tcPr>
          <w:p w14:paraId="519A9BDC" w14:textId="245ECA02" w:rsidR="007D2BFB" w:rsidRPr="007D2BFB" w:rsidRDefault="007D2BFB" w:rsidP="007D2BFB">
            <w:pPr>
              <w:ind w:firstLine="0"/>
              <w:rPr>
                <w:b/>
                <w:bCs/>
              </w:rPr>
            </w:pPr>
            <w:r w:rsidRPr="007D2BFB">
              <w:rPr>
                <w:b/>
                <w:bCs/>
              </w:rPr>
              <w:t>Total</w:t>
            </w:r>
          </w:p>
        </w:tc>
        <w:tc>
          <w:tcPr>
            <w:tcW w:w="3120" w:type="dxa"/>
          </w:tcPr>
          <w:p w14:paraId="335A263B" w14:textId="2931D133" w:rsidR="007D2BFB" w:rsidRPr="007D2BFB" w:rsidRDefault="00AB6F8B" w:rsidP="007D2BFB">
            <w:pPr>
              <w:ind w:firstLine="0"/>
              <w:rPr>
                <w:b/>
                <w:bCs/>
              </w:rPr>
            </w:pPr>
            <w:r>
              <w:rPr>
                <w:b/>
                <w:bCs/>
              </w:rPr>
              <w:t>49</w:t>
            </w:r>
          </w:p>
        </w:tc>
        <w:tc>
          <w:tcPr>
            <w:tcW w:w="3120" w:type="dxa"/>
          </w:tcPr>
          <w:p w14:paraId="24798113" w14:textId="3D97BCE5" w:rsidR="007D2BFB" w:rsidRPr="007D2BFB" w:rsidRDefault="007D2BFB" w:rsidP="007D2BFB">
            <w:pPr>
              <w:ind w:firstLine="0"/>
              <w:rPr>
                <w:b/>
                <w:bCs/>
              </w:rPr>
            </w:pPr>
            <w:r w:rsidRPr="007D2BFB">
              <w:rPr>
                <w:b/>
                <w:bCs/>
              </w:rPr>
              <w:t>100</w:t>
            </w:r>
          </w:p>
        </w:tc>
      </w:tr>
    </w:tbl>
    <w:p w14:paraId="39ABD80E" w14:textId="7D9FCE33" w:rsidR="007D2BFB" w:rsidRDefault="007D2BFB" w:rsidP="007D2BFB">
      <w:pPr>
        <w:ind w:firstLine="0"/>
      </w:pPr>
    </w:p>
    <w:p w14:paraId="76B66DC4" w14:textId="4EEB5AFB" w:rsidR="00D255D8" w:rsidRPr="00D255D8" w:rsidRDefault="00D255D8" w:rsidP="007D2BFB">
      <w:pPr>
        <w:ind w:firstLine="0"/>
        <w:rPr>
          <w:b/>
          <w:bCs/>
        </w:rPr>
      </w:pPr>
      <w:r w:rsidRPr="00D255D8">
        <w:rPr>
          <w:b/>
          <w:bCs/>
        </w:rPr>
        <w:t>Anxiety Means</w:t>
      </w:r>
    </w:p>
    <w:tbl>
      <w:tblPr>
        <w:tblStyle w:val="TableGrid"/>
        <w:tblW w:w="8550" w:type="dxa"/>
        <w:tblLook w:val="04A0" w:firstRow="1" w:lastRow="0" w:firstColumn="1" w:lastColumn="0" w:noHBand="0" w:noVBand="1"/>
      </w:tblPr>
      <w:tblGrid>
        <w:gridCol w:w="1795"/>
        <w:gridCol w:w="1565"/>
        <w:gridCol w:w="1880"/>
        <w:gridCol w:w="2260"/>
        <w:gridCol w:w="1050"/>
      </w:tblGrid>
      <w:tr w:rsidR="00D255D8" w:rsidRPr="00D255D8" w14:paraId="2010291A" w14:textId="77777777" w:rsidTr="00D255D8">
        <w:trPr>
          <w:trHeight w:val="710"/>
        </w:trPr>
        <w:tc>
          <w:tcPr>
            <w:tcW w:w="1795" w:type="dxa"/>
            <w:hideMark/>
          </w:tcPr>
          <w:p w14:paraId="7742D530" w14:textId="77777777" w:rsidR="00D255D8" w:rsidRPr="00D255D8" w:rsidRDefault="00D255D8" w:rsidP="00D255D8">
            <w:pPr>
              <w:spacing w:line="480" w:lineRule="auto"/>
              <w:ind w:firstLine="0"/>
            </w:pPr>
            <w:r w:rsidRPr="00D255D8">
              <w:rPr>
                <w:b/>
                <w:bCs/>
              </w:rPr>
              <w:t> </w:t>
            </w:r>
          </w:p>
        </w:tc>
        <w:tc>
          <w:tcPr>
            <w:tcW w:w="1565" w:type="dxa"/>
            <w:hideMark/>
          </w:tcPr>
          <w:p w14:paraId="59F992DD" w14:textId="77777777" w:rsidR="00D255D8" w:rsidRPr="00D255D8" w:rsidRDefault="00D255D8" w:rsidP="00D255D8">
            <w:pPr>
              <w:spacing w:line="480" w:lineRule="auto"/>
              <w:ind w:firstLine="0"/>
            </w:pPr>
            <w:r w:rsidRPr="00D255D8">
              <w:rPr>
                <w:b/>
                <w:bCs/>
              </w:rPr>
              <w:t>Range</w:t>
            </w:r>
          </w:p>
        </w:tc>
        <w:tc>
          <w:tcPr>
            <w:tcW w:w="1880" w:type="dxa"/>
            <w:hideMark/>
          </w:tcPr>
          <w:p w14:paraId="56840F03" w14:textId="77777777" w:rsidR="00D255D8" w:rsidRPr="00D255D8" w:rsidRDefault="00D255D8" w:rsidP="00D255D8">
            <w:pPr>
              <w:spacing w:line="480" w:lineRule="auto"/>
              <w:ind w:firstLine="0"/>
            </w:pPr>
            <w:r w:rsidRPr="00D255D8">
              <w:rPr>
                <w:b/>
                <w:bCs/>
              </w:rPr>
              <w:t>Mean</w:t>
            </w:r>
          </w:p>
        </w:tc>
        <w:tc>
          <w:tcPr>
            <w:tcW w:w="2260" w:type="dxa"/>
            <w:hideMark/>
          </w:tcPr>
          <w:p w14:paraId="2340C10E" w14:textId="77777777" w:rsidR="00D255D8" w:rsidRPr="00D255D8" w:rsidRDefault="00D255D8" w:rsidP="00D255D8">
            <w:pPr>
              <w:spacing w:line="480" w:lineRule="auto"/>
              <w:ind w:firstLine="0"/>
            </w:pPr>
            <w:r w:rsidRPr="00D255D8">
              <w:rPr>
                <w:b/>
                <w:bCs/>
              </w:rPr>
              <w:t>Median</w:t>
            </w:r>
          </w:p>
        </w:tc>
        <w:tc>
          <w:tcPr>
            <w:tcW w:w="1050" w:type="dxa"/>
            <w:hideMark/>
          </w:tcPr>
          <w:p w14:paraId="063AFD32" w14:textId="77777777" w:rsidR="00D255D8" w:rsidRPr="00D255D8" w:rsidRDefault="00D255D8" w:rsidP="00D255D8">
            <w:pPr>
              <w:spacing w:line="480" w:lineRule="auto"/>
              <w:ind w:firstLine="0"/>
            </w:pPr>
            <w:r w:rsidRPr="00D255D8">
              <w:rPr>
                <w:b/>
                <w:bCs/>
              </w:rPr>
              <w:t>SD</w:t>
            </w:r>
          </w:p>
        </w:tc>
      </w:tr>
      <w:tr w:rsidR="00D255D8" w:rsidRPr="00D255D8" w14:paraId="34E3C013" w14:textId="77777777" w:rsidTr="00D255D8">
        <w:trPr>
          <w:trHeight w:val="710"/>
        </w:trPr>
        <w:tc>
          <w:tcPr>
            <w:tcW w:w="1795" w:type="dxa"/>
            <w:hideMark/>
          </w:tcPr>
          <w:p w14:paraId="27059E4B" w14:textId="77777777" w:rsidR="00D255D8" w:rsidRPr="00D255D8" w:rsidRDefault="00D255D8" w:rsidP="00D255D8">
            <w:pPr>
              <w:spacing w:line="480" w:lineRule="auto"/>
              <w:ind w:firstLine="0"/>
            </w:pPr>
            <w:r w:rsidRPr="00D255D8">
              <w:rPr>
                <w:b/>
                <w:bCs/>
              </w:rPr>
              <w:t>State Anxiety (N=49)</w:t>
            </w:r>
          </w:p>
        </w:tc>
        <w:tc>
          <w:tcPr>
            <w:tcW w:w="1565" w:type="dxa"/>
            <w:hideMark/>
          </w:tcPr>
          <w:p w14:paraId="1D96608A" w14:textId="77777777" w:rsidR="00D255D8" w:rsidRPr="00D255D8" w:rsidRDefault="00D255D8" w:rsidP="00D255D8">
            <w:pPr>
              <w:spacing w:line="480" w:lineRule="auto"/>
              <w:ind w:firstLine="0"/>
            </w:pPr>
            <w:r w:rsidRPr="00D255D8">
              <w:t>52-66</w:t>
            </w:r>
          </w:p>
        </w:tc>
        <w:tc>
          <w:tcPr>
            <w:tcW w:w="1880" w:type="dxa"/>
            <w:hideMark/>
          </w:tcPr>
          <w:p w14:paraId="2D0257F0" w14:textId="77777777" w:rsidR="00D255D8" w:rsidRPr="00D255D8" w:rsidRDefault="00D255D8" w:rsidP="00D255D8">
            <w:pPr>
              <w:spacing w:line="480" w:lineRule="auto"/>
              <w:ind w:firstLine="0"/>
            </w:pPr>
            <w:r w:rsidRPr="00D255D8">
              <w:t>59.94</w:t>
            </w:r>
          </w:p>
        </w:tc>
        <w:tc>
          <w:tcPr>
            <w:tcW w:w="2260" w:type="dxa"/>
            <w:hideMark/>
          </w:tcPr>
          <w:p w14:paraId="4DF468CE" w14:textId="77777777" w:rsidR="00D255D8" w:rsidRPr="00D255D8" w:rsidRDefault="00D255D8" w:rsidP="00D255D8">
            <w:pPr>
              <w:spacing w:line="480" w:lineRule="auto"/>
              <w:ind w:firstLine="0"/>
            </w:pPr>
            <w:r w:rsidRPr="00D255D8">
              <w:t>60.00</w:t>
            </w:r>
          </w:p>
        </w:tc>
        <w:tc>
          <w:tcPr>
            <w:tcW w:w="1050" w:type="dxa"/>
            <w:hideMark/>
          </w:tcPr>
          <w:p w14:paraId="34657FC7" w14:textId="77777777" w:rsidR="00D255D8" w:rsidRPr="00D255D8" w:rsidRDefault="00D255D8" w:rsidP="00D255D8">
            <w:pPr>
              <w:spacing w:line="480" w:lineRule="auto"/>
              <w:ind w:firstLine="0"/>
            </w:pPr>
            <w:r w:rsidRPr="00D255D8">
              <w:t>3.030</w:t>
            </w:r>
          </w:p>
        </w:tc>
      </w:tr>
      <w:tr w:rsidR="00D255D8" w:rsidRPr="00D255D8" w14:paraId="7FBD0384" w14:textId="77777777" w:rsidTr="00D255D8">
        <w:trPr>
          <w:trHeight w:val="935"/>
        </w:trPr>
        <w:tc>
          <w:tcPr>
            <w:tcW w:w="1795" w:type="dxa"/>
            <w:hideMark/>
          </w:tcPr>
          <w:p w14:paraId="204C5705" w14:textId="77777777" w:rsidR="00D255D8" w:rsidRPr="00D255D8" w:rsidRDefault="00D255D8" w:rsidP="00D255D8">
            <w:pPr>
              <w:spacing w:line="480" w:lineRule="auto"/>
              <w:ind w:firstLine="0"/>
            </w:pPr>
            <w:r w:rsidRPr="00D255D8">
              <w:rPr>
                <w:b/>
                <w:bCs/>
              </w:rPr>
              <w:t>Trait Anxiety (N=47)</w:t>
            </w:r>
          </w:p>
        </w:tc>
        <w:tc>
          <w:tcPr>
            <w:tcW w:w="1565" w:type="dxa"/>
            <w:hideMark/>
          </w:tcPr>
          <w:p w14:paraId="2BB3248C" w14:textId="77777777" w:rsidR="00D255D8" w:rsidRPr="00D255D8" w:rsidRDefault="00D255D8" w:rsidP="00D255D8">
            <w:pPr>
              <w:spacing w:line="480" w:lineRule="auto"/>
              <w:ind w:firstLine="0"/>
            </w:pPr>
            <w:r w:rsidRPr="00D255D8">
              <w:t>48-72</w:t>
            </w:r>
          </w:p>
        </w:tc>
        <w:tc>
          <w:tcPr>
            <w:tcW w:w="1880" w:type="dxa"/>
            <w:hideMark/>
          </w:tcPr>
          <w:p w14:paraId="128DDE83" w14:textId="77777777" w:rsidR="00D255D8" w:rsidRPr="00D255D8" w:rsidRDefault="00D255D8" w:rsidP="00D255D8">
            <w:pPr>
              <w:spacing w:line="480" w:lineRule="auto"/>
              <w:ind w:firstLine="0"/>
            </w:pPr>
            <w:r w:rsidRPr="00D255D8">
              <w:t>59.72</w:t>
            </w:r>
          </w:p>
        </w:tc>
        <w:tc>
          <w:tcPr>
            <w:tcW w:w="2260" w:type="dxa"/>
            <w:hideMark/>
          </w:tcPr>
          <w:p w14:paraId="679DFE49" w14:textId="77777777" w:rsidR="00D255D8" w:rsidRPr="00D255D8" w:rsidRDefault="00D255D8" w:rsidP="00D255D8">
            <w:pPr>
              <w:spacing w:line="480" w:lineRule="auto"/>
              <w:ind w:firstLine="0"/>
            </w:pPr>
            <w:r w:rsidRPr="00D255D8">
              <w:t>58.00</w:t>
            </w:r>
          </w:p>
        </w:tc>
        <w:tc>
          <w:tcPr>
            <w:tcW w:w="1050" w:type="dxa"/>
            <w:hideMark/>
          </w:tcPr>
          <w:p w14:paraId="3331274A" w14:textId="77777777" w:rsidR="00D255D8" w:rsidRPr="00D255D8" w:rsidRDefault="00D255D8" w:rsidP="00D255D8">
            <w:pPr>
              <w:spacing w:line="480" w:lineRule="auto"/>
              <w:ind w:firstLine="0"/>
            </w:pPr>
            <w:r w:rsidRPr="00D255D8">
              <w:t>5.937</w:t>
            </w:r>
          </w:p>
        </w:tc>
      </w:tr>
    </w:tbl>
    <w:p w14:paraId="360E31DD" w14:textId="2F77BB42" w:rsidR="00D255D8" w:rsidRDefault="00D255D8" w:rsidP="007D2BFB">
      <w:pPr>
        <w:ind w:firstLine="0"/>
      </w:pPr>
    </w:p>
    <w:p w14:paraId="1F57AD7E" w14:textId="35533957" w:rsidR="00D255D8" w:rsidRPr="00D255D8" w:rsidRDefault="00D255D8" w:rsidP="007D2BFB">
      <w:pPr>
        <w:ind w:firstLine="0"/>
        <w:rPr>
          <w:b/>
          <w:bCs/>
        </w:rPr>
      </w:pPr>
      <w:r w:rsidRPr="00D255D8">
        <w:rPr>
          <w:b/>
          <w:bCs/>
        </w:rPr>
        <w:t>Coping Styles Means</w:t>
      </w:r>
    </w:p>
    <w:tbl>
      <w:tblPr>
        <w:tblStyle w:val="TableGrid"/>
        <w:tblW w:w="8819" w:type="dxa"/>
        <w:tblLook w:val="04A0" w:firstRow="1" w:lastRow="0" w:firstColumn="1" w:lastColumn="0" w:noHBand="0" w:noVBand="1"/>
      </w:tblPr>
      <w:tblGrid>
        <w:gridCol w:w="1951"/>
        <w:gridCol w:w="1870"/>
        <w:gridCol w:w="1808"/>
        <w:gridCol w:w="2238"/>
        <w:gridCol w:w="952"/>
      </w:tblGrid>
      <w:tr w:rsidR="00D255D8" w:rsidRPr="00D255D8" w14:paraId="6064A732" w14:textId="77777777" w:rsidTr="00D255D8">
        <w:trPr>
          <w:trHeight w:val="845"/>
        </w:trPr>
        <w:tc>
          <w:tcPr>
            <w:tcW w:w="1951" w:type="dxa"/>
            <w:hideMark/>
          </w:tcPr>
          <w:p w14:paraId="0DA470C4" w14:textId="77777777" w:rsidR="00D255D8" w:rsidRPr="00D255D8" w:rsidRDefault="00D255D8" w:rsidP="00D255D8">
            <w:pPr>
              <w:spacing w:line="480" w:lineRule="auto"/>
              <w:ind w:firstLine="0"/>
            </w:pPr>
            <w:r w:rsidRPr="00D255D8">
              <w:rPr>
                <w:b/>
                <w:bCs/>
              </w:rPr>
              <w:t> </w:t>
            </w:r>
          </w:p>
        </w:tc>
        <w:tc>
          <w:tcPr>
            <w:tcW w:w="1870" w:type="dxa"/>
            <w:hideMark/>
          </w:tcPr>
          <w:p w14:paraId="7886D303" w14:textId="77777777" w:rsidR="00D255D8" w:rsidRPr="00D255D8" w:rsidRDefault="00D255D8" w:rsidP="00D255D8">
            <w:pPr>
              <w:spacing w:line="480" w:lineRule="auto"/>
              <w:ind w:firstLine="0"/>
            </w:pPr>
            <w:r w:rsidRPr="00D255D8">
              <w:rPr>
                <w:b/>
                <w:bCs/>
              </w:rPr>
              <w:t>Range</w:t>
            </w:r>
          </w:p>
        </w:tc>
        <w:tc>
          <w:tcPr>
            <w:tcW w:w="1808" w:type="dxa"/>
            <w:hideMark/>
          </w:tcPr>
          <w:p w14:paraId="675A02B0" w14:textId="77777777" w:rsidR="00D255D8" w:rsidRPr="00D255D8" w:rsidRDefault="00D255D8" w:rsidP="00D255D8">
            <w:pPr>
              <w:spacing w:line="480" w:lineRule="auto"/>
              <w:ind w:firstLine="0"/>
            </w:pPr>
            <w:r w:rsidRPr="00D255D8">
              <w:rPr>
                <w:b/>
                <w:bCs/>
              </w:rPr>
              <w:t>Mean</w:t>
            </w:r>
          </w:p>
        </w:tc>
        <w:tc>
          <w:tcPr>
            <w:tcW w:w="2238" w:type="dxa"/>
            <w:hideMark/>
          </w:tcPr>
          <w:p w14:paraId="032609A9" w14:textId="77777777" w:rsidR="00D255D8" w:rsidRPr="00D255D8" w:rsidRDefault="00D255D8" w:rsidP="00D255D8">
            <w:pPr>
              <w:spacing w:line="480" w:lineRule="auto"/>
              <w:ind w:firstLine="0"/>
            </w:pPr>
            <w:r w:rsidRPr="00D255D8">
              <w:rPr>
                <w:b/>
                <w:bCs/>
              </w:rPr>
              <w:t>Median</w:t>
            </w:r>
          </w:p>
        </w:tc>
        <w:tc>
          <w:tcPr>
            <w:tcW w:w="952" w:type="dxa"/>
            <w:hideMark/>
          </w:tcPr>
          <w:p w14:paraId="654D4533" w14:textId="77777777" w:rsidR="00D255D8" w:rsidRPr="00D255D8" w:rsidRDefault="00D255D8" w:rsidP="00D255D8">
            <w:pPr>
              <w:spacing w:line="480" w:lineRule="auto"/>
              <w:ind w:firstLine="0"/>
            </w:pPr>
            <w:r w:rsidRPr="00D255D8">
              <w:rPr>
                <w:b/>
                <w:bCs/>
              </w:rPr>
              <w:t>SD</w:t>
            </w:r>
          </w:p>
        </w:tc>
      </w:tr>
      <w:tr w:rsidR="00D255D8" w:rsidRPr="00D255D8" w14:paraId="646055D1" w14:textId="77777777" w:rsidTr="00D255D8">
        <w:trPr>
          <w:trHeight w:val="1371"/>
        </w:trPr>
        <w:tc>
          <w:tcPr>
            <w:tcW w:w="1951" w:type="dxa"/>
            <w:hideMark/>
          </w:tcPr>
          <w:p w14:paraId="106F08B3" w14:textId="77777777" w:rsidR="00D255D8" w:rsidRPr="00D255D8" w:rsidRDefault="00D255D8" w:rsidP="00D255D8">
            <w:pPr>
              <w:spacing w:line="480" w:lineRule="auto"/>
              <w:ind w:firstLine="0"/>
            </w:pPr>
            <w:r w:rsidRPr="00D255D8">
              <w:rPr>
                <w:b/>
                <w:bCs/>
              </w:rPr>
              <w:t>Approach (N=54)</w:t>
            </w:r>
          </w:p>
        </w:tc>
        <w:tc>
          <w:tcPr>
            <w:tcW w:w="1870" w:type="dxa"/>
            <w:hideMark/>
          </w:tcPr>
          <w:p w14:paraId="0EAD8536" w14:textId="77777777" w:rsidR="00D255D8" w:rsidRPr="00D255D8" w:rsidRDefault="00D255D8" w:rsidP="00D255D8">
            <w:pPr>
              <w:spacing w:line="480" w:lineRule="auto"/>
              <w:ind w:firstLine="0"/>
            </w:pPr>
            <w:r w:rsidRPr="00D255D8">
              <w:t>34-68</w:t>
            </w:r>
          </w:p>
        </w:tc>
        <w:tc>
          <w:tcPr>
            <w:tcW w:w="1808" w:type="dxa"/>
            <w:hideMark/>
          </w:tcPr>
          <w:p w14:paraId="31DC155A" w14:textId="77777777" w:rsidR="00D255D8" w:rsidRPr="00D255D8" w:rsidRDefault="00D255D8" w:rsidP="00D255D8">
            <w:pPr>
              <w:spacing w:line="480" w:lineRule="auto"/>
              <w:ind w:firstLine="0"/>
            </w:pPr>
            <w:r w:rsidRPr="00D255D8">
              <w:t>52.15</w:t>
            </w:r>
          </w:p>
        </w:tc>
        <w:tc>
          <w:tcPr>
            <w:tcW w:w="2238" w:type="dxa"/>
            <w:hideMark/>
          </w:tcPr>
          <w:p w14:paraId="632BE207" w14:textId="77777777" w:rsidR="00D255D8" w:rsidRPr="00D255D8" w:rsidRDefault="00D255D8" w:rsidP="00D255D8">
            <w:pPr>
              <w:spacing w:line="480" w:lineRule="auto"/>
              <w:ind w:firstLine="0"/>
            </w:pPr>
            <w:r w:rsidRPr="00D255D8">
              <w:t>52.00</w:t>
            </w:r>
          </w:p>
        </w:tc>
        <w:tc>
          <w:tcPr>
            <w:tcW w:w="952" w:type="dxa"/>
            <w:hideMark/>
          </w:tcPr>
          <w:p w14:paraId="258B198F" w14:textId="77777777" w:rsidR="00D255D8" w:rsidRPr="00D255D8" w:rsidRDefault="00D255D8" w:rsidP="00D255D8">
            <w:pPr>
              <w:spacing w:line="480" w:lineRule="auto"/>
              <w:ind w:firstLine="0"/>
            </w:pPr>
            <w:r w:rsidRPr="00D255D8">
              <w:t>7.747</w:t>
            </w:r>
          </w:p>
        </w:tc>
      </w:tr>
      <w:tr w:rsidR="00D255D8" w:rsidRPr="00D255D8" w14:paraId="3B08699C" w14:textId="77777777" w:rsidTr="00D255D8">
        <w:trPr>
          <w:trHeight w:val="1371"/>
        </w:trPr>
        <w:tc>
          <w:tcPr>
            <w:tcW w:w="1951" w:type="dxa"/>
            <w:hideMark/>
          </w:tcPr>
          <w:p w14:paraId="5EC92F15" w14:textId="77777777" w:rsidR="00D255D8" w:rsidRPr="00D255D8" w:rsidRDefault="00D255D8" w:rsidP="00D255D8">
            <w:pPr>
              <w:spacing w:line="480" w:lineRule="auto"/>
              <w:ind w:firstLine="0"/>
            </w:pPr>
            <w:r w:rsidRPr="00D255D8">
              <w:rPr>
                <w:b/>
                <w:bCs/>
              </w:rPr>
              <w:lastRenderedPageBreak/>
              <w:t>Avoidance (N=54)</w:t>
            </w:r>
          </w:p>
        </w:tc>
        <w:tc>
          <w:tcPr>
            <w:tcW w:w="1870" w:type="dxa"/>
            <w:hideMark/>
          </w:tcPr>
          <w:p w14:paraId="672011A4" w14:textId="77777777" w:rsidR="00D255D8" w:rsidRPr="00D255D8" w:rsidRDefault="00D255D8" w:rsidP="00D255D8">
            <w:pPr>
              <w:spacing w:line="480" w:lineRule="auto"/>
              <w:ind w:firstLine="0"/>
            </w:pPr>
            <w:r w:rsidRPr="00D255D8">
              <w:t>28-41</w:t>
            </w:r>
          </w:p>
        </w:tc>
        <w:tc>
          <w:tcPr>
            <w:tcW w:w="1808" w:type="dxa"/>
            <w:hideMark/>
          </w:tcPr>
          <w:p w14:paraId="5451B8B0" w14:textId="77777777" w:rsidR="00D255D8" w:rsidRPr="00D255D8" w:rsidRDefault="00D255D8" w:rsidP="00D255D8">
            <w:pPr>
              <w:spacing w:line="480" w:lineRule="auto"/>
              <w:ind w:firstLine="0"/>
            </w:pPr>
            <w:r w:rsidRPr="00D255D8">
              <w:t>35.78</w:t>
            </w:r>
          </w:p>
        </w:tc>
        <w:tc>
          <w:tcPr>
            <w:tcW w:w="2238" w:type="dxa"/>
            <w:hideMark/>
          </w:tcPr>
          <w:p w14:paraId="5E27184B" w14:textId="77777777" w:rsidR="00D255D8" w:rsidRPr="00D255D8" w:rsidRDefault="00D255D8" w:rsidP="00D255D8">
            <w:pPr>
              <w:spacing w:line="480" w:lineRule="auto"/>
              <w:ind w:firstLine="0"/>
            </w:pPr>
            <w:r w:rsidRPr="00D255D8">
              <w:t>36.00</w:t>
            </w:r>
          </w:p>
        </w:tc>
        <w:tc>
          <w:tcPr>
            <w:tcW w:w="952" w:type="dxa"/>
            <w:hideMark/>
          </w:tcPr>
          <w:p w14:paraId="1CDBE5B7" w14:textId="77777777" w:rsidR="00D255D8" w:rsidRPr="00D255D8" w:rsidRDefault="00D255D8" w:rsidP="00D255D8">
            <w:pPr>
              <w:spacing w:line="480" w:lineRule="auto"/>
              <w:ind w:firstLine="0"/>
            </w:pPr>
            <w:r w:rsidRPr="00D255D8">
              <w:t>2.859</w:t>
            </w:r>
          </w:p>
        </w:tc>
      </w:tr>
      <w:tr w:rsidR="00D255D8" w:rsidRPr="00D255D8" w14:paraId="2A5DF2FD" w14:textId="77777777" w:rsidTr="00D255D8">
        <w:trPr>
          <w:trHeight w:val="1371"/>
        </w:trPr>
        <w:tc>
          <w:tcPr>
            <w:tcW w:w="1951" w:type="dxa"/>
            <w:hideMark/>
          </w:tcPr>
          <w:p w14:paraId="4CC84E21" w14:textId="77777777" w:rsidR="00D255D8" w:rsidRPr="00D255D8" w:rsidRDefault="00D255D8" w:rsidP="00D255D8">
            <w:pPr>
              <w:spacing w:line="480" w:lineRule="auto"/>
              <w:ind w:firstLine="0"/>
            </w:pPr>
            <w:r w:rsidRPr="00D255D8">
              <w:rPr>
                <w:b/>
                <w:bCs/>
              </w:rPr>
              <w:t>Social (N=54)</w:t>
            </w:r>
          </w:p>
        </w:tc>
        <w:tc>
          <w:tcPr>
            <w:tcW w:w="1870" w:type="dxa"/>
            <w:hideMark/>
          </w:tcPr>
          <w:p w14:paraId="3B6A1444" w14:textId="77777777" w:rsidR="00D255D8" w:rsidRPr="00D255D8" w:rsidRDefault="00D255D8" w:rsidP="00D255D8">
            <w:pPr>
              <w:spacing w:line="480" w:lineRule="auto"/>
              <w:ind w:firstLine="0"/>
            </w:pPr>
            <w:r w:rsidRPr="00D255D8">
              <w:t>19-35</w:t>
            </w:r>
          </w:p>
        </w:tc>
        <w:tc>
          <w:tcPr>
            <w:tcW w:w="1808" w:type="dxa"/>
            <w:hideMark/>
          </w:tcPr>
          <w:p w14:paraId="6F984B18" w14:textId="77777777" w:rsidR="00D255D8" w:rsidRPr="00D255D8" w:rsidRDefault="00D255D8" w:rsidP="00D255D8">
            <w:pPr>
              <w:spacing w:line="480" w:lineRule="auto"/>
              <w:ind w:firstLine="0"/>
            </w:pPr>
            <w:r w:rsidRPr="00D255D8">
              <w:t>27.78</w:t>
            </w:r>
          </w:p>
        </w:tc>
        <w:tc>
          <w:tcPr>
            <w:tcW w:w="2238" w:type="dxa"/>
            <w:hideMark/>
          </w:tcPr>
          <w:p w14:paraId="4085C21E" w14:textId="77777777" w:rsidR="00D255D8" w:rsidRPr="00D255D8" w:rsidRDefault="00D255D8" w:rsidP="00D255D8">
            <w:pPr>
              <w:spacing w:line="480" w:lineRule="auto"/>
              <w:ind w:firstLine="0"/>
            </w:pPr>
            <w:r w:rsidRPr="00D255D8">
              <w:t>27.50</w:t>
            </w:r>
          </w:p>
        </w:tc>
        <w:tc>
          <w:tcPr>
            <w:tcW w:w="952" w:type="dxa"/>
            <w:hideMark/>
          </w:tcPr>
          <w:p w14:paraId="6674D00A" w14:textId="77777777" w:rsidR="00D255D8" w:rsidRPr="00D255D8" w:rsidRDefault="00D255D8" w:rsidP="00D255D8">
            <w:pPr>
              <w:spacing w:line="480" w:lineRule="auto"/>
              <w:ind w:firstLine="0"/>
            </w:pPr>
            <w:r w:rsidRPr="00D255D8">
              <w:t>3.142</w:t>
            </w:r>
          </w:p>
        </w:tc>
      </w:tr>
    </w:tbl>
    <w:p w14:paraId="54CB91ED" w14:textId="77777777" w:rsidR="00D255D8" w:rsidRDefault="00D255D8" w:rsidP="007D2BFB">
      <w:pPr>
        <w:ind w:firstLine="0"/>
      </w:pPr>
    </w:p>
    <w:p w14:paraId="47C177CE" w14:textId="70AB6CDC" w:rsidR="007B4990" w:rsidRPr="00D31ABB" w:rsidRDefault="00D255D8" w:rsidP="007D2BFB">
      <w:pPr>
        <w:ind w:firstLine="0"/>
        <w:rPr>
          <w:b/>
          <w:bCs/>
        </w:rPr>
      </w:pPr>
      <w:r>
        <w:rPr>
          <w:b/>
          <w:bCs/>
        </w:rPr>
        <w:t>Coping Styles-</w:t>
      </w:r>
      <w:r w:rsidR="00D31ABB" w:rsidRPr="00D31ABB">
        <w:rPr>
          <w:b/>
          <w:bCs/>
        </w:rPr>
        <w:t>Correlations</w:t>
      </w:r>
    </w:p>
    <w:tbl>
      <w:tblPr>
        <w:tblStyle w:val="TableGrid"/>
        <w:tblW w:w="9360" w:type="dxa"/>
        <w:tblInd w:w="-5" w:type="dxa"/>
        <w:tblLook w:val="04A0" w:firstRow="1" w:lastRow="0" w:firstColumn="1" w:lastColumn="0" w:noHBand="0" w:noVBand="1"/>
      </w:tblPr>
      <w:tblGrid>
        <w:gridCol w:w="2674"/>
        <w:gridCol w:w="1959"/>
        <w:gridCol w:w="1999"/>
        <w:gridCol w:w="2728"/>
      </w:tblGrid>
      <w:tr w:rsidR="00D31ABB" w14:paraId="6BAC2368" w14:textId="77777777" w:rsidTr="003538CD">
        <w:tc>
          <w:tcPr>
            <w:tcW w:w="3060" w:type="dxa"/>
          </w:tcPr>
          <w:p w14:paraId="5C3404BA" w14:textId="77777777" w:rsidR="00D31ABB" w:rsidRDefault="00D31ABB" w:rsidP="003538CD">
            <w:pPr>
              <w:jc w:val="center"/>
            </w:pPr>
          </w:p>
        </w:tc>
        <w:tc>
          <w:tcPr>
            <w:tcW w:w="898" w:type="dxa"/>
          </w:tcPr>
          <w:p w14:paraId="52A62C36" w14:textId="77777777" w:rsidR="00D31ABB" w:rsidRPr="006B3C15" w:rsidRDefault="00D31ABB" w:rsidP="003538CD">
            <w:pPr>
              <w:jc w:val="center"/>
              <w:rPr>
                <w:b/>
                <w:bCs/>
              </w:rPr>
            </w:pPr>
            <w:r w:rsidRPr="006B3C15">
              <w:rPr>
                <w:b/>
                <w:bCs/>
              </w:rPr>
              <w:t>Approach</w:t>
            </w:r>
          </w:p>
        </w:tc>
        <w:tc>
          <w:tcPr>
            <w:tcW w:w="1999" w:type="dxa"/>
          </w:tcPr>
          <w:p w14:paraId="4BFAE8E3" w14:textId="77777777" w:rsidR="00D31ABB" w:rsidRPr="006B3C15" w:rsidRDefault="00D31ABB" w:rsidP="003538CD">
            <w:pPr>
              <w:jc w:val="center"/>
              <w:rPr>
                <w:b/>
                <w:bCs/>
              </w:rPr>
            </w:pPr>
            <w:r w:rsidRPr="006B3C15">
              <w:rPr>
                <w:b/>
                <w:bCs/>
              </w:rPr>
              <w:t>Avoid</w:t>
            </w:r>
            <w:r>
              <w:rPr>
                <w:b/>
                <w:bCs/>
              </w:rPr>
              <w:t>ance</w:t>
            </w:r>
          </w:p>
        </w:tc>
        <w:tc>
          <w:tcPr>
            <w:tcW w:w="3403" w:type="dxa"/>
          </w:tcPr>
          <w:p w14:paraId="73C51B10" w14:textId="77777777" w:rsidR="00D31ABB" w:rsidRPr="006B3C15" w:rsidRDefault="00D31ABB" w:rsidP="003538CD">
            <w:pPr>
              <w:jc w:val="center"/>
              <w:rPr>
                <w:b/>
                <w:bCs/>
              </w:rPr>
            </w:pPr>
            <w:r w:rsidRPr="006B3C15">
              <w:rPr>
                <w:b/>
                <w:bCs/>
              </w:rPr>
              <w:t>Social</w:t>
            </w:r>
          </w:p>
        </w:tc>
      </w:tr>
      <w:tr w:rsidR="00D31ABB" w14:paraId="1CDCDEE6" w14:textId="77777777" w:rsidTr="003538CD">
        <w:tc>
          <w:tcPr>
            <w:tcW w:w="3060" w:type="dxa"/>
          </w:tcPr>
          <w:p w14:paraId="45D72A84" w14:textId="77777777" w:rsidR="00D31ABB" w:rsidRPr="007710B2" w:rsidRDefault="00D31ABB" w:rsidP="003538CD">
            <w:pPr>
              <w:jc w:val="center"/>
              <w:rPr>
                <w:b/>
                <w:bCs/>
              </w:rPr>
            </w:pPr>
            <w:r w:rsidRPr="007710B2">
              <w:rPr>
                <w:b/>
                <w:bCs/>
              </w:rPr>
              <w:t>Approach</w:t>
            </w:r>
          </w:p>
        </w:tc>
        <w:tc>
          <w:tcPr>
            <w:tcW w:w="898" w:type="dxa"/>
          </w:tcPr>
          <w:p w14:paraId="6A86ECC8" w14:textId="77777777" w:rsidR="00D31ABB" w:rsidRDefault="00D31ABB" w:rsidP="003538CD">
            <w:pPr>
              <w:jc w:val="center"/>
            </w:pPr>
          </w:p>
        </w:tc>
        <w:tc>
          <w:tcPr>
            <w:tcW w:w="1999" w:type="dxa"/>
          </w:tcPr>
          <w:p w14:paraId="5536A4E6" w14:textId="77777777" w:rsidR="00D31ABB" w:rsidRDefault="00D31ABB" w:rsidP="003538CD">
            <w:pPr>
              <w:jc w:val="center"/>
            </w:pPr>
          </w:p>
        </w:tc>
        <w:tc>
          <w:tcPr>
            <w:tcW w:w="3403" w:type="dxa"/>
          </w:tcPr>
          <w:p w14:paraId="2C60E924" w14:textId="77777777" w:rsidR="00D31ABB" w:rsidRDefault="00D31ABB" w:rsidP="003538CD">
            <w:pPr>
              <w:jc w:val="center"/>
            </w:pPr>
          </w:p>
        </w:tc>
      </w:tr>
      <w:tr w:rsidR="00D31ABB" w14:paraId="6F3206D4" w14:textId="77777777" w:rsidTr="003538CD">
        <w:tc>
          <w:tcPr>
            <w:tcW w:w="3060" w:type="dxa"/>
          </w:tcPr>
          <w:p w14:paraId="605FE8B5" w14:textId="3B6D09C3" w:rsidR="00D31ABB" w:rsidRDefault="00D31ABB" w:rsidP="003538CD">
            <w:pPr>
              <w:jc w:val="center"/>
            </w:pPr>
            <w:r>
              <w:t>Pearson</w:t>
            </w:r>
            <w:r w:rsidR="003538CD">
              <w:t xml:space="preserve"> </w:t>
            </w:r>
            <w:r>
              <w:t>Correlation</w:t>
            </w:r>
          </w:p>
        </w:tc>
        <w:tc>
          <w:tcPr>
            <w:tcW w:w="898" w:type="dxa"/>
          </w:tcPr>
          <w:p w14:paraId="5A6F48B6" w14:textId="77777777" w:rsidR="00D31ABB" w:rsidRDefault="00D31ABB" w:rsidP="003538CD">
            <w:pPr>
              <w:jc w:val="center"/>
            </w:pPr>
            <w:r>
              <w:t>1</w:t>
            </w:r>
          </w:p>
        </w:tc>
        <w:tc>
          <w:tcPr>
            <w:tcW w:w="1999" w:type="dxa"/>
          </w:tcPr>
          <w:p w14:paraId="7A45499A" w14:textId="77777777" w:rsidR="00D31ABB" w:rsidRDefault="00D31ABB" w:rsidP="003538CD">
            <w:pPr>
              <w:jc w:val="center"/>
            </w:pPr>
            <w:r>
              <w:t>0.538**</w:t>
            </w:r>
          </w:p>
        </w:tc>
        <w:tc>
          <w:tcPr>
            <w:tcW w:w="3403" w:type="dxa"/>
          </w:tcPr>
          <w:p w14:paraId="4F2590D4" w14:textId="77777777" w:rsidR="00D31ABB" w:rsidRDefault="00D31ABB" w:rsidP="003538CD">
            <w:pPr>
              <w:jc w:val="center"/>
            </w:pPr>
            <w:r>
              <w:t>0.242</w:t>
            </w:r>
          </w:p>
        </w:tc>
      </w:tr>
      <w:tr w:rsidR="00D31ABB" w14:paraId="628B961B" w14:textId="77777777" w:rsidTr="003538CD">
        <w:tc>
          <w:tcPr>
            <w:tcW w:w="3060" w:type="dxa"/>
          </w:tcPr>
          <w:p w14:paraId="6D3CEFD8" w14:textId="77777777" w:rsidR="00D31ABB" w:rsidRDefault="00D31ABB" w:rsidP="003538CD">
            <w:pPr>
              <w:jc w:val="center"/>
            </w:pPr>
            <w:r>
              <w:t>Sig. (2-tailed)</w:t>
            </w:r>
          </w:p>
        </w:tc>
        <w:tc>
          <w:tcPr>
            <w:tcW w:w="898" w:type="dxa"/>
          </w:tcPr>
          <w:p w14:paraId="55CA22FC" w14:textId="77777777" w:rsidR="00D31ABB" w:rsidRDefault="00D31ABB" w:rsidP="003538CD">
            <w:pPr>
              <w:jc w:val="center"/>
            </w:pPr>
          </w:p>
        </w:tc>
        <w:tc>
          <w:tcPr>
            <w:tcW w:w="1999" w:type="dxa"/>
          </w:tcPr>
          <w:p w14:paraId="46ACFE94" w14:textId="77777777" w:rsidR="00D31ABB" w:rsidRDefault="00D31ABB" w:rsidP="003538CD">
            <w:pPr>
              <w:jc w:val="center"/>
            </w:pPr>
            <w:r>
              <w:t>0.000</w:t>
            </w:r>
          </w:p>
        </w:tc>
        <w:tc>
          <w:tcPr>
            <w:tcW w:w="3403" w:type="dxa"/>
          </w:tcPr>
          <w:p w14:paraId="75AF5638" w14:textId="77777777" w:rsidR="00D31ABB" w:rsidRDefault="00D31ABB" w:rsidP="003538CD">
            <w:pPr>
              <w:jc w:val="center"/>
            </w:pPr>
            <w:r>
              <w:t>0.078</w:t>
            </w:r>
          </w:p>
        </w:tc>
      </w:tr>
      <w:tr w:rsidR="00D31ABB" w14:paraId="3F79B584" w14:textId="77777777" w:rsidTr="003538CD">
        <w:tc>
          <w:tcPr>
            <w:tcW w:w="3060" w:type="dxa"/>
          </w:tcPr>
          <w:p w14:paraId="200A7C14" w14:textId="77777777" w:rsidR="00D31ABB" w:rsidRDefault="00D31ABB" w:rsidP="003538CD">
            <w:pPr>
              <w:jc w:val="center"/>
            </w:pPr>
            <w:r>
              <w:t>N</w:t>
            </w:r>
          </w:p>
        </w:tc>
        <w:tc>
          <w:tcPr>
            <w:tcW w:w="898" w:type="dxa"/>
          </w:tcPr>
          <w:p w14:paraId="4D46BED1" w14:textId="77777777" w:rsidR="00D31ABB" w:rsidRDefault="00D31ABB" w:rsidP="003538CD">
            <w:pPr>
              <w:jc w:val="center"/>
            </w:pPr>
            <w:r>
              <w:t>54</w:t>
            </w:r>
          </w:p>
        </w:tc>
        <w:tc>
          <w:tcPr>
            <w:tcW w:w="1999" w:type="dxa"/>
          </w:tcPr>
          <w:p w14:paraId="2E133091" w14:textId="77777777" w:rsidR="00D31ABB" w:rsidRDefault="00D31ABB" w:rsidP="003538CD">
            <w:pPr>
              <w:jc w:val="center"/>
            </w:pPr>
            <w:r>
              <w:t>54</w:t>
            </w:r>
          </w:p>
        </w:tc>
        <w:tc>
          <w:tcPr>
            <w:tcW w:w="3403" w:type="dxa"/>
          </w:tcPr>
          <w:p w14:paraId="313AFFF2" w14:textId="77777777" w:rsidR="00D31ABB" w:rsidRDefault="00D31ABB" w:rsidP="003538CD">
            <w:pPr>
              <w:jc w:val="center"/>
            </w:pPr>
            <w:r>
              <w:t>54</w:t>
            </w:r>
          </w:p>
        </w:tc>
      </w:tr>
      <w:tr w:rsidR="00D31ABB" w14:paraId="22E3EFB7" w14:textId="77777777" w:rsidTr="003538CD">
        <w:tc>
          <w:tcPr>
            <w:tcW w:w="3060" w:type="dxa"/>
          </w:tcPr>
          <w:p w14:paraId="3B35512F" w14:textId="0C82668A" w:rsidR="00D31ABB" w:rsidRDefault="003538CD" w:rsidP="003538CD">
            <w:pPr>
              <w:jc w:val="center"/>
            </w:pPr>
            <w:r>
              <w:t>---------------------</w:t>
            </w:r>
          </w:p>
        </w:tc>
        <w:tc>
          <w:tcPr>
            <w:tcW w:w="898" w:type="dxa"/>
          </w:tcPr>
          <w:p w14:paraId="077855D0" w14:textId="5A85D403" w:rsidR="00D31ABB" w:rsidRDefault="003538CD" w:rsidP="003538CD">
            <w:pPr>
              <w:jc w:val="center"/>
            </w:pPr>
            <w:r>
              <w:t>------------</w:t>
            </w:r>
          </w:p>
        </w:tc>
        <w:tc>
          <w:tcPr>
            <w:tcW w:w="1999" w:type="dxa"/>
          </w:tcPr>
          <w:p w14:paraId="2E80C8F5" w14:textId="6279E37E" w:rsidR="00D31ABB" w:rsidRDefault="003538CD" w:rsidP="003538CD">
            <w:pPr>
              <w:jc w:val="center"/>
            </w:pPr>
            <w:r>
              <w:t>-------------</w:t>
            </w:r>
          </w:p>
        </w:tc>
        <w:tc>
          <w:tcPr>
            <w:tcW w:w="3403" w:type="dxa"/>
          </w:tcPr>
          <w:p w14:paraId="1DAA21EB" w14:textId="706B6BE7" w:rsidR="00D31ABB" w:rsidRDefault="003538CD" w:rsidP="003538CD">
            <w:pPr>
              <w:jc w:val="center"/>
            </w:pPr>
            <w:r>
              <w:t>----------------------</w:t>
            </w:r>
          </w:p>
        </w:tc>
      </w:tr>
      <w:tr w:rsidR="00D31ABB" w14:paraId="690F45F2" w14:textId="77777777" w:rsidTr="003538CD">
        <w:tc>
          <w:tcPr>
            <w:tcW w:w="3060" w:type="dxa"/>
          </w:tcPr>
          <w:p w14:paraId="1D7013ED" w14:textId="77777777" w:rsidR="00D31ABB" w:rsidRPr="006B3C15" w:rsidRDefault="00D31ABB" w:rsidP="003538CD">
            <w:pPr>
              <w:jc w:val="center"/>
              <w:rPr>
                <w:b/>
                <w:bCs/>
              </w:rPr>
            </w:pPr>
            <w:r w:rsidRPr="006B3C15">
              <w:rPr>
                <w:b/>
                <w:bCs/>
              </w:rPr>
              <w:t>Avoid</w:t>
            </w:r>
            <w:r>
              <w:rPr>
                <w:b/>
                <w:bCs/>
              </w:rPr>
              <w:t>ance</w:t>
            </w:r>
          </w:p>
        </w:tc>
        <w:tc>
          <w:tcPr>
            <w:tcW w:w="898" w:type="dxa"/>
          </w:tcPr>
          <w:p w14:paraId="6FB939C5" w14:textId="77777777" w:rsidR="00D31ABB" w:rsidRDefault="00D31ABB" w:rsidP="003538CD">
            <w:pPr>
              <w:jc w:val="center"/>
            </w:pPr>
          </w:p>
        </w:tc>
        <w:tc>
          <w:tcPr>
            <w:tcW w:w="1999" w:type="dxa"/>
          </w:tcPr>
          <w:p w14:paraId="2FEA3021" w14:textId="77777777" w:rsidR="00D31ABB" w:rsidRDefault="00D31ABB" w:rsidP="003538CD">
            <w:pPr>
              <w:jc w:val="center"/>
            </w:pPr>
          </w:p>
        </w:tc>
        <w:tc>
          <w:tcPr>
            <w:tcW w:w="3403" w:type="dxa"/>
          </w:tcPr>
          <w:p w14:paraId="46453BAD" w14:textId="77777777" w:rsidR="00D31ABB" w:rsidRDefault="00D31ABB" w:rsidP="003538CD">
            <w:pPr>
              <w:jc w:val="center"/>
            </w:pPr>
          </w:p>
        </w:tc>
      </w:tr>
      <w:tr w:rsidR="00D31ABB" w14:paraId="582C9FA3" w14:textId="77777777" w:rsidTr="003538CD">
        <w:tc>
          <w:tcPr>
            <w:tcW w:w="3060" w:type="dxa"/>
          </w:tcPr>
          <w:p w14:paraId="09FB368D" w14:textId="77777777" w:rsidR="00D31ABB" w:rsidRDefault="00D31ABB" w:rsidP="003538CD">
            <w:pPr>
              <w:jc w:val="center"/>
            </w:pPr>
            <w:r>
              <w:t>Pearson Correlation</w:t>
            </w:r>
          </w:p>
        </w:tc>
        <w:tc>
          <w:tcPr>
            <w:tcW w:w="898" w:type="dxa"/>
          </w:tcPr>
          <w:p w14:paraId="05686657" w14:textId="77777777" w:rsidR="00D31ABB" w:rsidRDefault="00D31ABB" w:rsidP="003538CD">
            <w:pPr>
              <w:jc w:val="center"/>
            </w:pPr>
            <w:r>
              <w:t>0.538**</w:t>
            </w:r>
          </w:p>
        </w:tc>
        <w:tc>
          <w:tcPr>
            <w:tcW w:w="1999" w:type="dxa"/>
          </w:tcPr>
          <w:p w14:paraId="112AC40B" w14:textId="77777777" w:rsidR="00D31ABB" w:rsidRDefault="00D31ABB" w:rsidP="003538CD">
            <w:pPr>
              <w:jc w:val="center"/>
            </w:pPr>
            <w:r>
              <w:t>1</w:t>
            </w:r>
          </w:p>
        </w:tc>
        <w:tc>
          <w:tcPr>
            <w:tcW w:w="3403" w:type="dxa"/>
          </w:tcPr>
          <w:p w14:paraId="30AF8275" w14:textId="77777777" w:rsidR="00D31ABB" w:rsidRDefault="00D31ABB" w:rsidP="003538CD">
            <w:pPr>
              <w:jc w:val="center"/>
            </w:pPr>
            <w:r>
              <w:t>0.269</w:t>
            </w:r>
          </w:p>
        </w:tc>
      </w:tr>
      <w:tr w:rsidR="00D31ABB" w14:paraId="4EDCD26E" w14:textId="77777777" w:rsidTr="003538CD">
        <w:tc>
          <w:tcPr>
            <w:tcW w:w="3060" w:type="dxa"/>
          </w:tcPr>
          <w:p w14:paraId="42F527F3" w14:textId="77777777" w:rsidR="00D31ABB" w:rsidRDefault="00D31ABB" w:rsidP="003538CD">
            <w:pPr>
              <w:jc w:val="center"/>
            </w:pPr>
            <w:r>
              <w:t>Sig. (2-tailed)</w:t>
            </w:r>
          </w:p>
        </w:tc>
        <w:tc>
          <w:tcPr>
            <w:tcW w:w="898" w:type="dxa"/>
          </w:tcPr>
          <w:p w14:paraId="520A7928" w14:textId="77777777" w:rsidR="00D31ABB" w:rsidRDefault="00D31ABB" w:rsidP="003538CD">
            <w:pPr>
              <w:jc w:val="center"/>
            </w:pPr>
            <w:r>
              <w:t>0.000</w:t>
            </w:r>
          </w:p>
        </w:tc>
        <w:tc>
          <w:tcPr>
            <w:tcW w:w="1999" w:type="dxa"/>
          </w:tcPr>
          <w:p w14:paraId="76D6D23D" w14:textId="77777777" w:rsidR="00D31ABB" w:rsidRDefault="00D31ABB" w:rsidP="003538CD">
            <w:pPr>
              <w:jc w:val="center"/>
            </w:pPr>
          </w:p>
        </w:tc>
        <w:tc>
          <w:tcPr>
            <w:tcW w:w="3403" w:type="dxa"/>
          </w:tcPr>
          <w:p w14:paraId="2A4C5EC7" w14:textId="77777777" w:rsidR="00D31ABB" w:rsidRDefault="00D31ABB" w:rsidP="003538CD">
            <w:pPr>
              <w:jc w:val="center"/>
            </w:pPr>
            <w:r>
              <w:t>0.049</w:t>
            </w:r>
          </w:p>
        </w:tc>
      </w:tr>
      <w:tr w:rsidR="00D31ABB" w14:paraId="20D0821C" w14:textId="77777777" w:rsidTr="003538CD">
        <w:tc>
          <w:tcPr>
            <w:tcW w:w="3060" w:type="dxa"/>
          </w:tcPr>
          <w:p w14:paraId="0881B383" w14:textId="77777777" w:rsidR="00D31ABB" w:rsidRDefault="00D31ABB" w:rsidP="003538CD">
            <w:pPr>
              <w:jc w:val="center"/>
            </w:pPr>
            <w:r>
              <w:t>N</w:t>
            </w:r>
          </w:p>
        </w:tc>
        <w:tc>
          <w:tcPr>
            <w:tcW w:w="898" w:type="dxa"/>
          </w:tcPr>
          <w:p w14:paraId="72D04B21" w14:textId="77777777" w:rsidR="00D31ABB" w:rsidRDefault="00D31ABB" w:rsidP="003538CD">
            <w:pPr>
              <w:jc w:val="center"/>
            </w:pPr>
            <w:r>
              <w:t>54</w:t>
            </w:r>
          </w:p>
        </w:tc>
        <w:tc>
          <w:tcPr>
            <w:tcW w:w="1999" w:type="dxa"/>
          </w:tcPr>
          <w:p w14:paraId="3BDF2713" w14:textId="77777777" w:rsidR="00D31ABB" w:rsidRDefault="00D31ABB" w:rsidP="003538CD">
            <w:pPr>
              <w:jc w:val="center"/>
            </w:pPr>
            <w:r>
              <w:t>54</w:t>
            </w:r>
          </w:p>
        </w:tc>
        <w:tc>
          <w:tcPr>
            <w:tcW w:w="3403" w:type="dxa"/>
          </w:tcPr>
          <w:p w14:paraId="7AEAE7EE" w14:textId="77777777" w:rsidR="00D31ABB" w:rsidRDefault="00D31ABB" w:rsidP="003538CD">
            <w:pPr>
              <w:jc w:val="center"/>
            </w:pPr>
            <w:r>
              <w:t>54</w:t>
            </w:r>
          </w:p>
        </w:tc>
      </w:tr>
      <w:tr w:rsidR="00D31ABB" w14:paraId="6977A753" w14:textId="77777777" w:rsidTr="003538CD">
        <w:tc>
          <w:tcPr>
            <w:tcW w:w="3060" w:type="dxa"/>
          </w:tcPr>
          <w:p w14:paraId="7A1C2E55" w14:textId="247BDD11" w:rsidR="00D31ABB" w:rsidRDefault="003538CD" w:rsidP="003538CD">
            <w:pPr>
              <w:jc w:val="center"/>
            </w:pPr>
            <w:r>
              <w:t>---------------------</w:t>
            </w:r>
          </w:p>
        </w:tc>
        <w:tc>
          <w:tcPr>
            <w:tcW w:w="898" w:type="dxa"/>
          </w:tcPr>
          <w:p w14:paraId="262A5BA1" w14:textId="356C4D4D" w:rsidR="00D31ABB" w:rsidRDefault="003538CD" w:rsidP="003538CD">
            <w:pPr>
              <w:jc w:val="center"/>
            </w:pPr>
            <w:r>
              <w:t>------------</w:t>
            </w:r>
          </w:p>
        </w:tc>
        <w:tc>
          <w:tcPr>
            <w:tcW w:w="1999" w:type="dxa"/>
          </w:tcPr>
          <w:p w14:paraId="420A06EE" w14:textId="11B630A0" w:rsidR="00D31ABB" w:rsidRDefault="003538CD" w:rsidP="003538CD">
            <w:pPr>
              <w:jc w:val="center"/>
            </w:pPr>
            <w:r>
              <w:t>-------------</w:t>
            </w:r>
          </w:p>
        </w:tc>
        <w:tc>
          <w:tcPr>
            <w:tcW w:w="3403" w:type="dxa"/>
          </w:tcPr>
          <w:p w14:paraId="15B8B154" w14:textId="70B44DA9" w:rsidR="00D31ABB" w:rsidRDefault="003538CD" w:rsidP="003538CD">
            <w:pPr>
              <w:jc w:val="center"/>
            </w:pPr>
            <w:r>
              <w:t>----------------------</w:t>
            </w:r>
          </w:p>
        </w:tc>
      </w:tr>
      <w:tr w:rsidR="00D31ABB" w14:paraId="19B3FF93" w14:textId="77777777" w:rsidTr="003538CD">
        <w:tc>
          <w:tcPr>
            <w:tcW w:w="3060" w:type="dxa"/>
          </w:tcPr>
          <w:p w14:paraId="2E5B03C1" w14:textId="77777777" w:rsidR="00D31ABB" w:rsidRPr="006B3C15" w:rsidRDefault="00D31ABB" w:rsidP="003538CD">
            <w:pPr>
              <w:jc w:val="center"/>
              <w:rPr>
                <w:b/>
                <w:bCs/>
              </w:rPr>
            </w:pPr>
            <w:r w:rsidRPr="006B3C15">
              <w:rPr>
                <w:b/>
                <w:bCs/>
              </w:rPr>
              <w:t>Social</w:t>
            </w:r>
          </w:p>
        </w:tc>
        <w:tc>
          <w:tcPr>
            <w:tcW w:w="898" w:type="dxa"/>
          </w:tcPr>
          <w:p w14:paraId="74ABCC77" w14:textId="77777777" w:rsidR="00D31ABB" w:rsidRDefault="00D31ABB" w:rsidP="003538CD">
            <w:pPr>
              <w:jc w:val="center"/>
            </w:pPr>
          </w:p>
        </w:tc>
        <w:tc>
          <w:tcPr>
            <w:tcW w:w="1999" w:type="dxa"/>
          </w:tcPr>
          <w:p w14:paraId="7DCFEAC3" w14:textId="77777777" w:rsidR="00D31ABB" w:rsidRDefault="00D31ABB" w:rsidP="003538CD">
            <w:pPr>
              <w:jc w:val="center"/>
            </w:pPr>
          </w:p>
        </w:tc>
        <w:tc>
          <w:tcPr>
            <w:tcW w:w="3403" w:type="dxa"/>
          </w:tcPr>
          <w:p w14:paraId="2C6E2CA8" w14:textId="77777777" w:rsidR="00D31ABB" w:rsidRDefault="00D31ABB" w:rsidP="003538CD">
            <w:pPr>
              <w:jc w:val="center"/>
            </w:pPr>
          </w:p>
        </w:tc>
      </w:tr>
      <w:tr w:rsidR="00D31ABB" w14:paraId="7C1CE191" w14:textId="77777777" w:rsidTr="003538CD">
        <w:tc>
          <w:tcPr>
            <w:tcW w:w="3060" w:type="dxa"/>
          </w:tcPr>
          <w:p w14:paraId="29607C60" w14:textId="77777777" w:rsidR="00D31ABB" w:rsidRDefault="00D31ABB" w:rsidP="003538CD">
            <w:pPr>
              <w:jc w:val="center"/>
            </w:pPr>
            <w:r>
              <w:t>Pearson Correlation</w:t>
            </w:r>
          </w:p>
        </w:tc>
        <w:tc>
          <w:tcPr>
            <w:tcW w:w="898" w:type="dxa"/>
          </w:tcPr>
          <w:p w14:paraId="75903DC6" w14:textId="77777777" w:rsidR="00D31ABB" w:rsidRDefault="00D31ABB" w:rsidP="003538CD">
            <w:pPr>
              <w:jc w:val="center"/>
            </w:pPr>
            <w:r>
              <w:t>0.242</w:t>
            </w:r>
          </w:p>
        </w:tc>
        <w:tc>
          <w:tcPr>
            <w:tcW w:w="1999" w:type="dxa"/>
          </w:tcPr>
          <w:p w14:paraId="399EB909" w14:textId="77777777" w:rsidR="00D31ABB" w:rsidRDefault="00D31ABB" w:rsidP="003538CD">
            <w:pPr>
              <w:jc w:val="center"/>
            </w:pPr>
            <w:r>
              <w:t>0.269*</w:t>
            </w:r>
          </w:p>
        </w:tc>
        <w:tc>
          <w:tcPr>
            <w:tcW w:w="3403" w:type="dxa"/>
          </w:tcPr>
          <w:p w14:paraId="192D5B86" w14:textId="77777777" w:rsidR="00D31ABB" w:rsidRDefault="00D31ABB" w:rsidP="003538CD">
            <w:pPr>
              <w:jc w:val="center"/>
            </w:pPr>
            <w:r>
              <w:t>1</w:t>
            </w:r>
          </w:p>
        </w:tc>
      </w:tr>
      <w:tr w:rsidR="00D31ABB" w14:paraId="18599321" w14:textId="77777777" w:rsidTr="003538CD">
        <w:tc>
          <w:tcPr>
            <w:tcW w:w="3060" w:type="dxa"/>
          </w:tcPr>
          <w:p w14:paraId="7B067939" w14:textId="77777777" w:rsidR="00D31ABB" w:rsidRDefault="00D31ABB" w:rsidP="003538CD">
            <w:pPr>
              <w:jc w:val="center"/>
            </w:pPr>
            <w:r>
              <w:t>Sig (2-tailed)</w:t>
            </w:r>
          </w:p>
        </w:tc>
        <w:tc>
          <w:tcPr>
            <w:tcW w:w="898" w:type="dxa"/>
          </w:tcPr>
          <w:p w14:paraId="42658228" w14:textId="77777777" w:rsidR="00D31ABB" w:rsidRDefault="00D31ABB" w:rsidP="003538CD">
            <w:pPr>
              <w:jc w:val="center"/>
            </w:pPr>
            <w:r>
              <w:t>0.078</w:t>
            </w:r>
          </w:p>
        </w:tc>
        <w:tc>
          <w:tcPr>
            <w:tcW w:w="1999" w:type="dxa"/>
          </w:tcPr>
          <w:p w14:paraId="4B3F1B83" w14:textId="77777777" w:rsidR="00D31ABB" w:rsidRDefault="00D31ABB" w:rsidP="003538CD">
            <w:pPr>
              <w:jc w:val="center"/>
            </w:pPr>
            <w:r>
              <w:t>0.049</w:t>
            </w:r>
          </w:p>
        </w:tc>
        <w:tc>
          <w:tcPr>
            <w:tcW w:w="3403" w:type="dxa"/>
          </w:tcPr>
          <w:p w14:paraId="4F0F4868" w14:textId="77777777" w:rsidR="00D31ABB" w:rsidRDefault="00D31ABB" w:rsidP="003538CD">
            <w:pPr>
              <w:jc w:val="center"/>
            </w:pPr>
          </w:p>
        </w:tc>
      </w:tr>
      <w:tr w:rsidR="00D31ABB" w14:paraId="28C068E5" w14:textId="77777777" w:rsidTr="003538CD">
        <w:tc>
          <w:tcPr>
            <w:tcW w:w="3060" w:type="dxa"/>
          </w:tcPr>
          <w:p w14:paraId="3F6E0832" w14:textId="77777777" w:rsidR="00D31ABB" w:rsidRDefault="00D31ABB" w:rsidP="003538CD">
            <w:pPr>
              <w:jc w:val="center"/>
            </w:pPr>
            <w:r>
              <w:t>N</w:t>
            </w:r>
          </w:p>
        </w:tc>
        <w:tc>
          <w:tcPr>
            <w:tcW w:w="898" w:type="dxa"/>
          </w:tcPr>
          <w:p w14:paraId="7B3D2A45" w14:textId="77777777" w:rsidR="00D31ABB" w:rsidRDefault="00D31ABB" w:rsidP="003538CD">
            <w:pPr>
              <w:jc w:val="center"/>
            </w:pPr>
            <w:r>
              <w:t>54</w:t>
            </w:r>
          </w:p>
        </w:tc>
        <w:tc>
          <w:tcPr>
            <w:tcW w:w="1999" w:type="dxa"/>
          </w:tcPr>
          <w:p w14:paraId="748B9D89" w14:textId="77777777" w:rsidR="00D31ABB" w:rsidRDefault="00D31ABB" w:rsidP="003538CD">
            <w:pPr>
              <w:jc w:val="center"/>
            </w:pPr>
            <w:r>
              <w:t>54</w:t>
            </w:r>
          </w:p>
        </w:tc>
        <w:tc>
          <w:tcPr>
            <w:tcW w:w="3403" w:type="dxa"/>
          </w:tcPr>
          <w:p w14:paraId="2B27965E" w14:textId="77777777" w:rsidR="00D31ABB" w:rsidRDefault="00D31ABB" w:rsidP="003538CD">
            <w:pPr>
              <w:jc w:val="center"/>
            </w:pPr>
            <w:r>
              <w:t>54</w:t>
            </w:r>
          </w:p>
        </w:tc>
      </w:tr>
    </w:tbl>
    <w:p w14:paraId="7884DD5F" w14:textId="6909965A" w:rsidR="00D31ABB" w:rsidRDefault="0060418A" w:rsidP="0060418A">
      <w:pPr>
        <w:ind w:firstLine="0"/>
      </w:pPr>
      <w:r>
        <w:t>*Correlation is significant at the 0.01 level (2-tailed)</w:t>
      </w:r>
    </w:p>
    <w:p w14:paraId="2FD9DAE8" w14:textId="1BC851A1" w:rsidR="0060418A" w:rsidRDefault="0060418A" w:rsidP="0060418A">
      <w:pPr>
        <w:ind w:firstLine="0"/>
      </w:pPr>
      <w:r>
        <w:t>**Correlation is significant at the 0.05 level (2-tailed)</w:t>
      </w:r>
    </w:p>
    <w:p w14:paraId="1A5A387C" w14:textId="019EF540" w:rsidR="00D31ABB" w:rsidRPr="00D31ABB" w:rsidRDefault="00D31ABB" w:rsidP="00D31ABB">
      <w:pPr>
        <w:ind w:firstLine="0"/>
        <w:rPr>
          <w:b/>
          <w:bCs/>
        </w:rPr>
      </w:pPr>
      <w:r w:rsidRPr="00D31ABB">
        <w:rPr>
          <w:b/>
          <w:bCs/>
        </w:rPr>
        <w:t>State Anxiety</w:t>
      </w:r>
      <w:r w:rsidR="00D255D8">
        <w:rPr>
          <w:b/>
          <w:bCs/>
        </w:rPr>
        <w:t>-Linear Regression</w:t>
      </w:r>
    </w:p>
    <w:tbl>
      <w:tblPr>
        <w:tblStyle w:val="TableGrid"/>
        <w:tblW w:w="0" w:type="auto"/>
        <w:tblLook w:val="04A0" w:firstRow="1" w:lastRow="0" w:firstColumn="1" w:lastColumn="0" w:noHBand="0" w:noVBand="1"/>
      </w:tblPr>
      <w:tblGrid>
        <w:gridCol w:w="2337"/>
        <w:gridCol w:w="2337"/>
        <w:gridCol w:w="2338"/>
        <w:gridCol w:w="2338"/>
      </w:tblGrid>
      <w:tr w:rsidR="00D31ABB" w:rsidRPr="00CB73CF" w14:paraId="6E3940F5" w14:textId="77777777" w:rsidTr="008A701E">
        <w:tc>
          <w:tcPr>
            <w:tcW w:w="2337" w:type="dxa"/>
          </w:tcPr>
          <w:p w14:paraId="02116BF5" w14:textId="77777777" w:rsidR="00D31ABB" w:rsidRPr="00CB73CF" w:rsidRDefault="00D31ABB" w:rsidP="0067084F">
            <w:pPr>
              <w:rPr>
                <w:b/>
                <w:bCs/>
              </w:rPr>
            </w:pPr>
            <w:r w:rsidRPr="00CB73CF">
              <w:rPr>
                <w:b/>
                <w:bCs/>
              </w:rPr>
              <w:t>Model</w:t>
            </w:r>
          </w:p>
        </w:tc>
        <w:tc>
          <w:tcPr>
            <w:tcW w:w="2337" w:type="dxa"/>
          </w:tcPr>
          <w:p w14:paraId="716745A8" w14:textId="77777777" w:rsidR="00D31ABB" w:rsidRPr="00CB73CF" w:rsidRDefault="00D31ABB" w:rsidP="0067084F">
            <w:pPr>
              <w:rPr>
                <w:b/>
                <w:bCs/>
              </w:rPr>
            </w:pPr>
            <w:r w:rsidRPr="00CB73CF">
              <w:rPr>
                <w:b/>
                <w:bCs/>
              </w:rPr>
              <w:t>R</w:t>
            </w:r>
          </w:p>
        </w:tc>
        <w:tc>
          <w:tcPr>
            <w:tcW w:w="2338" w:type="dxa"/>
          </w:tcPr>
          <w:p w14:paraId="21E82BF5" w14:textId="77777777" w:rsidR="00D31ABB" w:rsidRPr="00CB73CF" w:rsidRDefault="00D31ABB" w:rsidP="0067084F">
            <w:pPr>
              <w:rPr>
                <w:b/>
                <w:bCs/>
              </w:rPr>
            </w:pPr>
            <w:r w:rsidRPr="00CB73CF">
              <w:rPr>
                <w:b/>
                <w:bCs/>
              </w:rPr>
              <w:t>R Squared</w:t>
            </w:r>
          </w:p>
        </w:tc>
        <w:tc>
          <w:tcPr>
            <w:tcW w:w="2338" w:type="dxa"/>
          </w:tcPr>
          <w:p w14:paraId="62EB0C07" w14:textId="77777777" w:rsidR="00D31ABB" w:rsidRPr="00CB73CF" w:rsidRDefault="00D31ABB" w:rsidP="0067084F">
            <w:pPr>
              <w:rPr>
                <w:b/>
                <w:bCs/>
              </w:rPr>
            </w:pPr>
            <w:r w:rsidRPr="00CB73CF">
              <w:rPr>
                <w:b/>
                <w:bCs/>
              </w:rPr>
              <w:t>Adjusted R Squared</w:t>
            </w:r>
          </w:p>
        </w:tc>
      </w:tr>
      <w:tr w:rsidR="00D31ABB" w14:paraId="196FBAB7" w14:textId="77777777" w:rsidTr="008A701E">
        <w:tc>
          <w:tcPr>
            <w:tcW w:w="2337" w:type="dxa"/>
          </w:tcPr>
          <w:p w14:paraId="257DDDBC" w14:textId="77777777" w:rsidR="00D31ABB" w:rsidRDefault="00D31ABB" w:rsidP="008A701E">
            <w:r>
              <w:t>1</w:t>
            </w:r>
          </w:p>
        </w:tc>
        <w:tc>
          <w:tcPr>
            <w:tcW w:w="2337" w:type="dxa"/>
          </w:tcPr>
          <w:p w14:paraId="68B029F8" w14:textId="77777777" w:rsidR="00D31ABB" w:rsidRDefault="00D31ABB" w:rsidP="008A701E">
            <w:r>
              <w:t>0.408</w:t>
            </w:r>
          </w:p>
        </w:tc>
        <w:tc>
          <w:tcPr>
            <w:tcW w:w="2338" w:type="dxa"/>
          </w:tcPr>
          <w:p w14:paraId="49470388" w14:textId="77777777" w:rsidR="00D31ABB" w:rsidRDefault="00D31ABB" w:rsidP="008A701E">
            <w:r>
              <w:t>0.166</w:t>
            </w:r>
          </w:p>
        </w:tc>
        <w:tc>
          <w:tcPr>
            <w:tcW w:w="2338" w:type="dxa"/>
          </w:tcPr>
          <w:p w14:paraId="445F5C96" w14:textId="77777777" w:rsidR="00D31ABB" w:rsidRDefault="00D31ABB" w:rsidP="008A701E">
            <w:r>
              <w:t>0.111</w:t>
            </w:r>
          </w:p>
        </w:tc>
      </w:tr>
    </w:tbl>
    <w:p w14:paraId="0FDBE64E" w14:textId="593FE370" w:rsidR="00D31ABB" w:rsidRDefault="00D31ABB" w:rsidP="00D31ABB">
      <w:pPr>
        <w:ind w:firstLine="0"/>
      </w:pPr>
    </w:p>
    <w:tbl>
      <w:tblPr>
        <w:tblStyle w:val="TableGrid"/>
        <w:tblW w:w="0" w:type="auto"/>
        <w:tblLook w:val="04A0" w:firstRow="1" w:lastRow="0" w:firstColumn="1" w:lastColumn="0" w:noHBand="0" w:noVBand="1"/>
      </w:tblPr>
      <w:tblGrid>
        <w:gridCol w:w="1311"/>
        <w:gridCol w:w="1857"/>
        <w:gridCol w:w="1590"/>
        <w:gridCol w:w="1080"/>
        <w:gridCol w:w="1106"/>
        <w:gridCol w:w="1370"/>
        <w:gridCol w:w="1036"/>
      </w:tblGrid>
      <w:tr w:rsidR="0067084F" w14:paraId="0797E3DF" w14:textId="334B91F2" w:rsidTr="00D31ABB">
        <w:tc>
          <w:tcPr>
            <w:tcW w:w="1105" w:type="dxa"/>
          </w:tcPr>
          <w:p w14:paraId="20096397" w14:textId="77777777" w:rsidR="00D31ABB" w:rsidRDefault="00D31ABB" w:rsidP="00D31ABB">
            <w:pPr>
              <w:ind w:firstLine="0"/>
            </w:pPr>
          </w:p>
        </w:tc>
        <w:tc>
          <w:tcPr>
            <w:tcW w:w="1723" w:type="dxa"/>
          </w:tcPr>
          <w:p w14:paraId="233E5D9E" w14:textId="3EA79544" w:rsidR="00D31ABB" w:rsidRPr="0067084F" w:rsidRDefault="00D31ABB" w:rsidP="0067084F">
            <w:pPr>
              <w:ind w:firstLine="0"/>
              <w:jc w:val="center"/>
              <w:rPr>
                <w:b/>
                <w:bCs/>
              </w:rPr>
            </w:pPr>
            <w:r w:rsidRPr="0067084F">
              <w:rPr>
                <w:b/>
                <w:bCs/>
              </w:rPr>
              <w:t>Unstandardized B</w:t>
            </w:r>
          </w:p>
        </w:tc>
        <w:tc>
          <w:tcPr>
            <w:tcW w:w="1576" w:type="dxa"/>
          </w:tcPr>
          <w:p w14:paraId="2A9A2DFF" w14:textId="023C5467" w:rsidR="00D31ABB" w:rsidRPr="0067084F" w:rsidRDefault="00D31ABB" w:rsidP="0067084F">
            <w:pPr>
              <w:ind w:firstLine="0"/>
              <w:jc w:val="center"/>
              <w:rPr>
                <w:b/>
                <w:bCs/>
              </w:rPr>
            </w:pPr>
            <w:r w:rsidRPr="0067084F">
              <w:rPr>
                <w:b/>
                <w:bCs/>
              </w:rPr>
              <w:t>Standardized Coefficients</w:t>
            </w:r>
          </w:p>
        </w:tc>
        <w:tc>
          <w:tcPr>
            <w:tcW w:w="1153" w:type="dxa"/>
          </w:tcPr>
          <w:p w14:paraId="77E360EE" w14:textId="64703499" w:rsidR="00D31ABB" w:rsidRPr="0067084F" w:rsidRDefault="00D31ABB" w:rsidP="0067084F">
            <w:pPr>
              <w:ind w:firstLine="0"/>
              <w:jc w:val="center"/>
              <w:rPr>
                <w:b/>
                <w:bCs/>
              </w:rPr>
            </w:pPr>
            <w:r w:rsidRPr="0067084F">
              <w:rPr>
                <w:b/>
                <w:bCs/>
              </w:rPr>
              <w:t>T</w:t>
            </w:r>
          </w:p>
        </w:tc>
        <w:tc>
          <w:tcPr>
            <w:tcW w:w="1232" w:type="dxa"/>
          </w:tcPr>
          <w:p w14:paraId="690A8DBC" w14:textId="4944AC99" w:rsidR="00D31ABB" w:rsidRPr="0067084F" w:rsidRDefault="00D31ABB" w:rsidP="0067084F">
            <w:pPr>
              <w:ind w:firstLine="0"/>
              <w:jc w:val="center"/>
              <w:rPr>
                <w:b/>
                <w:bCs/>
              </w:rPr>
            </w:pPr>
            <w:r w:rsidRPr="0067084F">
              <w:rPr>
                <w:b/>
                <w:bCs/>
              </w:rPr>
              <w:t>Sig.</w:t>
            </w:r>
          </w:p>
        </w:tc>
        <w:tc>
          <w:tcPr>
            <w:tcW w:w="1424" w:type="dxa"/>
          </w:tcPr>
          <w:p w14:paraId="54EC4820" w14:textId="15A5668D" w:rsidR="00D31ABB" w:rsidRPr="0067084F" w:rsidRDefault="00D31ABB" w:rsidP="0067084F">
            <w:pPr>
              <w:ind w:firstLine="0"/>
              <w:jc w:val="center"/>
              <w:rPr>
                <w:b/>
                <w:bCs/>
              </w:rPr>
            </w:pPr>
            <w:r w:rsidRPr="0067084F">
              <w:rPr>
                <w:b/>
                <w:bCs/>
              </w:rPr>
              <w:t>Tolerance</w:t>
            </w:r>
          </w:p>
        </w:tc>
        <w:tc>
          <w:tcPr>
            <w:tcW w:w="1137" w:type="dxa"/>
          </w:tcPr>
          <w:p w14:paraId="752AD072" w14:textId="28BB214F" w:rsidR="00D31ABB" w:rsidRPr="0067084F" w:rsidRDefault="00D31ABB" w:rsidP="0067084F">
            <w:pPr>
              <w:ind w:firstLine="0"/>
              <w:jc w:val="center"/>
              <w:rPr>
                <w:b/>
                <w:bCs/>
              </w:rPr>
            </w:pPr>
            <w:r w:rsidRPr="0067084F">
              <w:rPr>
                <w:b/>
                <w:bCs/>
              </w:rPr>
              <w:t>VIF</w:t>
            </w:r>
          </w:p>
        </w:tc>
      </w:tr>
      <w:tr w:rsidR="0067084F" w14:paraId="479AB92D" w14:textId="068B95F6" w:rsidTr="00D31ABB">
        <w:tc>
          <w:tcPr>
            <w:tcW w:w="1105" w:type="dxa"/>
          </w:tcPr>
          <w:p w14:paraId="690D993B" w14:textId="3907548F" w:rsidR="00D31ABB" w:rsidRPr="0067084F" w:rsidRDefault="00D31ABB" w:rsidP="0067084F">
            <w:pPr>
              <w:ind w:firstLine="0"/>
              <w:jc w:val="center"/>
              <w:rPr>
                <w:b/>
                <w:bCs/>
              </w:rPr>
            </w:pPr>
            <w:r w:rsidRPr="0067084F">
              <w:rPr>
                <w:b/>
                <w:bCs/>
              </w:rPr>
              <w:t>(Constant)</w:t>
            </w:r>
          </w:p>
        </w:tc>
        <w:tc>
          <w:tcPr>
            <w:tcW w:w="1723" w:type="dxa"/>
          </w:tcPr>
          <w:p w14:paraId="49BC679E" w14:textId="517A1C53" w:rsidR="00D31ABB" w:rsidRDefault="0067084F" w:rsidP="00D31ABB">
            <w:pPr>
              <w:ind w:firstLine="0"/>
            </w:pPr>
            <w:r>
              <w:t>75.256</w:t>
            </w:r>
          </w:p>
        </w:tc>
        <w:tc>
          <w:tcPr>
            <w:tcW w:w="1576" w:type="dxa"/>
          </w:tcPr>
          <w:p w14:paraId="5BDFE38D" w14:textId="77777777" w:rsidR="00D31ABB" w:rsidRDefault="00D31ABB" w:rsidP="00D31ABB">
            <w:pPr>
              <w:ind w:firstLine="0"/>
            </w:pPr>
          </w:p>
        </w:tc>
        <w:tc>
          <w:tcPr>
            <w:tcW w:w="1153" w:type="dxa"/>
          </w:tcPr>
          <w:p w14:paraId="3729792E" w14:textId="0FECCFF1" w:rsidR="00D31ABB" w:rsidRDefault="0067084F" w:rsidP="00D31ABB">
            <w:pPr>
              <w:ind w:firstLine="0"/>
            </w:pPr>
            <w:r>
              <w:t>10.869</w:t>
            </w:r>
          </w:p>
        </w:tc>
        <w:tc>
          <w:tcPr>
            <w:tcW w:w="1232" w:type="dxa"/>
          </w:tcPr>
          <w:p w14:paraId="4D1AB533" w14:textId="23C7A6A6" w:rsidR="00D31ABB" w:rsidRDefault="0067084F" w:rsidP="00D31ABB">
            <w:pPr>
              <w:ind w:firstLine="0"/>
            </w:pPr>
            <w:r>
              <w:t>0.000</w:t>
            </w:r>
          </w:p>
        </w:tc>
        <w:tc>
          <w:tcPr>
            <w:tcW w:w="1424" w:type="dxa"/>
          </w:tcPr>
          <w:p w14:paraId="14A6370D" w14:textId="77777777" w:rsidR="00D31ABB" w:rsidRDefault="00D31ABB" w:rsidP="00D31ABB">
            <w:pPr>
              <w:ind w:firstLine="0"/>
            </w:pPr>
          </w:p>
        </w:tc>
        <w:tc>
          <w:tcPr>
            <w:tcW w:w="1137" w:type="dxa"/>
          </w:tcPr>
          <w:p w14:paraId="3404AB40" w14:textId="77777777" w:rsidR="00D31ABB" w:rsidRDefault="00D31ABB" w:rsidP="00D31ABB">
            <w:pPr>
              <w:ind w:firstLine="0"/>
            </w:pPr>
          </w:p>
        </w:tc>
      </w:tr>
      <w:tr w:rsidR="0067084F" w14:paraId="09764AFC" w14:textId="322A8886" w:rsidTr="00D31ABB">
        <w:tc>
          <w:tcPr>
            <w:tcW w:w="1105" w:type="dxa"/>
          </w:tcPr>
          <w:p w14:paraId="15BEC9D1" w14:textId="63636D70" w:rsidR="00D31ABB" w:rsidRPr="0067084F" w:rsidRDefault="00D31ABB" w:rsidP="0067084F">
            <w:pPr>
              <w:ind w:firstLine="0"/>
              <w:jc w:val="center"/>
              <w:rPr>
                <w:b/>
                <w:bCs/>
              </w:rPr>
            </w:pPr>
            <w:r w:rsidRPr="0067084F">
              <w:rPr>
                <w:b/>
                <w:bCs/>
              </w:rPr>
              <w:lastRenderedPageBreak/>
              <w:t>Approach</w:t>
            </w:r>
          </w:p>
        </w:tc>
        <w:tc>
          <w:tcPr>
            <w:tcW w:w="1723" w:type="dxa"/>
          </w:tcPr>
          <w:p w14:paraId="535121EE" w14:textId="379AAE0B" w:rsidR="00D31ABB" w:rsidRDefault="0067084F" w:rsidP="00D31ABB">
            <w:pPr>
              <w:ind w:firstLine="0"/>
            </w:pPr>
            <w:r>
              <w:t>1.075</w:t>
            </w:r>
          </w:p>
        </w:tc>
        <w:tc>
          <w:tcPr>
            <w:tcW w:w="1576" w:type="dxa"/>
          </w:tcPr>
          <w:p w14:paraId="6A8F7A7B" w14:textId="72437976" w:rsidR="00D31ABB" w:rsidRDefault="0067084F" w:rsidP="00D31ABB">
            <w:pPr>
              <w:ind w:firstLine="0"/>
            </w:pPr>
            <w:r>
              <w:t>0.972</w:t>
            </w:r>
          </w:p>
        </w:tc>
        <w:tc>
          <w:tcPr>
            <w:tcW w:w="1153" w:type="dxa"/>
          </w:tcPr>
          <w:p w14:paraId="1D5AA46A" w14:textId="21088DCD" w:rsidR="00D31ABB" w:rsidRDefault="0067084F" w:rsidP="00D31ABB">
            <w:pPr>
              <w:ind w:firstLine="0"/>
            </w:pPr>
            <w:r>
              <w:t>1.106</w:t>
            </w:r>
          </w:p>
        </w:tc>
        <w:tc>
          <w:tcPr>
            <w:tcW w:w="1232" w:type="dxa"/>
          </w:tcPr>
          <w:p w14:paraId="39624748" w14:textId="4F7F482E" w:rsidR="00D31ABB" w:rsidRDefault="0067084F" w:rsidP="00D31ABB">
            <w:pPr>
              <w:ind w:firstLine="0"/>
            </w:pPr>
            <w:r>
              <w:t>0.275</w:t>
            </w:r>
          </w:p>
        </w:tc>
        <w:tc>
          <w:tcPr>
            <w:tcW w:w="1424" w:type="dxa"/>
          </w:tcPr>
          <w:p w14:paraId="0A5567A8" w14:textId="1A5B16F7" w:rsidR="00D31ABB" w:rsidRDefault="0067084F" w:rsidP="00D31ABB">
            <w:pPr>
              <w:ind w:firstLine="0"/>
            </w:pPr>
            <w:r>
              <w:t>0.783</w:t>
            </w:r>
          </w:p>
        </w:tc>
        <w:tc>
          <w:tcPr>
            <w:tcW w:w="1137" w:type="dxa"/>
          </w:tcPr>
          <w:p w14:paraId="24C44117" w14:textId="155E38BB" w:rsidR="00D31ABB" w:rsidRDefault="0067084F" w:rsidP="00D31ABB">
            <w:pPr>
              <w:ind w:firstLine="0"/>
            </w:pPr>
            <w:r>
              <w:t>1.278</w:t>
            </w:r>
          </w:p>
        </w:tc>
      </w:tr>
      <w:tr w:rsidR="0067084F" w14:paraId="2AD012D0" w14:textId="1801E2FA" w:rsidTr="00D31ABB">
        <w:tc>
          <w:tcPr>
            <w:tcW w:w="1105" w:type="dxa"/>
          </w:tcPr>
          <w:p w14:paraId="1A276CCE" w14:textId="70435B0B" w:rsidR="00D31ABB" w:rsidRPr="0067084F" w:rsidRDefault="00D31ABB" w:rsidP="0067084F">
            <w:pPr>
              <w:ind w:firstLine="0"/>
              <w:jc w:val="center"/>
              <w:rPr>
                <w:b/>
                <w:bCs/>
              </w:rPr>
            </w:pPr>
            <w:r w:rsidRPr="0067084F">
              <w:rPr>
                <w:b/>
                <w:bCs/>
              </w:rPr>
              <w:t>Avoidance</w:t>
            </w:r>
          </w:p>
        </w:tc>
        <w:tc>
          <w:tcPr>
            <w:tcW w:w="1723" w:type="dxa"/>
          </w:tcPr>
          <w:p w14:paraId="7585EAB5" w14:textId="2BD8D4D2" w:rsidR="00D31ABB" w:rsidRDefault="0067084F" w:rsidP="00D31ABB">
            <w:pPr>
              <w:ind w:firstLine="0"/>
            </w:pPr>
            <w:r>
              <w:t>-6.347</w:t>
            </w:r>
          </w:p>
        </w:tc>
        <w:tc>
          <w:tcPr>
            <w:tcW w:w="1576" w:type="dxa"/>
          </w:tcPr>
          <w:p w14:paraId="2D8A13B9" w14:textId="1658AD80" w:rsidR="00D31ABB" w:rsidRDefault="0067084F" w:rsidP="00D31ABB">
            <w:pPr>
              <w:ind w:firstLine="0"/>
            </w:pPr>
            <w:r>
              <w:t>-0.455</w:t>
            </w:r>
          </w:p>
        </w:tc>
        <w:tc>
          <w:tcPr>
            <w:tcW w:w="1153" w:type="dxa"/>
          </w:tcPr>
          <w:p w14:paraId="25235E53" w14:textId="66B3262C" w:rsidR="00D31ABB" w:rsidRDefault="0067084F" w:rsidP="00D31ABB">
            <w:pPr>
              <w:ind w:firstLine="0"/>
            </w:pPr>
            <w:r>
              <w:t>-2.980</w:t>
            </w:r>
          </w:p>
        </w:tc>
        <w:tc>
          <w:tcPr>
            <w:tcW w:w="1232" w:type="dxa"/>
          </w:tcPr>
          <w:p w14:paraId="58E65FE1" w14:textId="33D1E964" w:rsidR="00D31ABB" w:rsidRDefault="0067084F" w:rsidP="00D31ABB">
            <w:pPr>
              <w:ind w:firstLine="0"/>
            </w:pPr>
            <w:r>
              <w:t>0.005</w:t>
            </w:r>
          </w:p>
        </w:tc>
        <w:tc>
          <w:tcPr>
            <w:tcW w:w="1424" w:type="dxa"/>
          </w:tcPr>
          <w:p w14:paraId="18F930C1" w14:textId="2742AF6B" w:rsidR="00D31ABB" w:rsidRDefault="0067084F" w:rsidP="00D31ABB">
            <w:pPr>
              <w:ind w:firstLine="0"/>
            </w:pPr>
            <w:r>
              <w:t>0.795</w:t>
            </w:r>
          </w:p>
        </w:tc>
        <w:tc>
          <w:tcPr>
            <w:tcW w:w="1137" w:type="dxa"/>
          </w:tcPr>
          <w:p w14:paraId="1B6D5F93" w14:textId="77A0C231" w:rsidR="00D31ABB" w:rsidRDefault="0067084F" w:rsidP="00D31ABB">
            <w:pPr>
              <w:ind w:firstLine="0"/>
            </w:pPr>
            <w:r>
              <w:t>1.257</w:t>
            </w:r>
          </w:p>
        </w:tc>
      </w:tr>
      <w:tr w:rsidR="0067084F" w14:paraId="27F3197D" w14:textId="4DF83A35" w:rsidTr="00D31ABB">
        <w:tc>
          <w:tcPr>
            <w:tcW w:w="1105" w:type="dxa"/>
          </w:tcPr>
          <w:p w14:paraId="0B6E7FF8" w14:textId="7C12E114" w:rsidR="00D31ABB" w:rsidRPr="0067084F" w:rsidRDefault="00D31ABB" w:rsidP="0067084F">
            <w:pPr>
              <w:ind w:firstLine="0"/>
              <w:jc w:val="center"/>
              <w:rPr>
                <w:b/>
                <w:bCs/>
              </w:rPr>
            </w:pPr>
            <w:r w:rsidRPr="0067084F">
              <w:rPr>
                <w:b/>
                <w:bCs/>
              </w:rPr>
              <w:t>Social</w:t>
            </w:r>
          </w:p>
        </w:tc>
        <w:tc>
          <w:tcPr>
            <w:tcW w:w="1723" w:type="dxa"/>
          </w:tcPr>
          <w:p w14:paraId="29300EBC" w14:textId="56FB8093" w:rsidR="00D31ABB" w:rsidRDefault="0067084F" w:rsidP="00D31ABB">
            <w:pPr>
              <w:ind w:firstLine="0"/>
            </w:pPr>
            <w:r>
              <w:t>0.446</w:t>
            </w:r>
          </w:p>
        </w:tc>
        <w:tc>
          <w:tcPr>
            <w:tcW w:w="1576" w:type="dxa"/>
          </w:tcPr>
          <w:p w14:paraId="33B1FA45" w14:textId="59BF27AB" w:rsidR="00D31ABB" w:rsidRDefault="0067084F" w:rsidP="00D31ABB">
            <w:pPr>
              <w:ind w:firstLine="0"/>
            </w:pPr>
            <w:r>
              <w:t>0.055</w:t>
            </w:r>
          </w:p>
        </w:tc>
        <w:tc>
          <w:tcPr>
            <w:tcW w:w="1153" w:type="dxa"/>
          </w:tcPr>
          <w:p w14:paraId="4DDAF6D7" w14:textId="202D839F" w:rsidR="00D31ABB" w:rsidRDefault="0067084F" w:rsidP="00D31ABB">
            <w:pPr>
              <w:ind w:firstLine="0"/>
            </w:pPr>
            <w:r>
              <w:t>0.400</w:t>
            </w:r>
          </w:p>
        </w:tc>
        <w:tc>
          <w:tcPr>
            <w:tcW w:w="1232" w:type="dxa"/>
          </w:tcPr>
          <w:p w14:paraId="643C84C6" w14:textId="46C30A8A" w:rsidR="00D31ABB" w:rsidRDefault="0067084F" w:rsidP="00D31ABB">
            <w:pPr>
              <w:ind w:firstLine="0"/>
            </w:pPr>
            <w:r>
              <w:t>0.691</w:t>
            </w:r>
          </w:p>
        </w:tc>
        <w:tc>
          <w:tcPr>
            <w:tcW w:w="1424" w:type="dxa"/>
          </w:tcPr>
          <w:p w14:paraId="00BE84A3" w14:textId="4CA868FD" w:rsidR="00D31ABB" w:rsidRDefault="0067084F" w:rsidP="00D31ABB">
            <w:pPr>
              <w:ind w:firstLine="0"/>
            </w:pPr>
            <w:r>
              <w:t>0.964</w:t>
            </w:r>
          </w:p>
        </w:tc>
        <w:tc>
          <w:tcPr>
            <w:tcW w:w="1137" w:type="dxa"/>
          </w:tcPr>
          <w:p w14:paraId="46DDD8BF" w14:textId="1F98F03A" w:rsidR="00D31ABB" w:rsidRDefault="0067084F" w:rsidP="00D31ABB">
            <w:pPr>
              <w:ind w:firstLine="0"/>
            </w:pPr>
            <w:r>
              <w:t>1.037</w:t>
            </w:r>
          </w:p>
        </w:tc>
      </w:tr>
    </w:tbl>
    <w:p w14:paraId="03052B4A" w14:textId="77777777" w:rsidR="00D31ABB" w:rsidRDefault="00D31ABB" w:rsidP="00D31ABB">
      <w:pPr>
        <w:ind w:firstLine="0"/>
      </w:pPr>
    </w:p>
    <w:p w14:paraId="74EDA731" w14:textId="169C99BE" w:rsidR="00D31ABB" w:rsidRPr="0067084F" w:rsidRDefault="0067084F" w:rsidP="007D2BFB">
      <w:pPr>
        <w:ind w:firstLine="0"/>
        <w:rPr>
          <w:b/>
          <w:bCs/>
        </w:rPr>
      </w:pPr>
      <w:r w:rsidRPr="0067084F">
        <w:rPr>
          <w:b/>
          <w:bCs/>
        </w:rPr>
        <w:t>Trait Anxiety</w:t>
      </w:r>
      <w:r w:rsidR="00D255D8">
        <w:rPr>
          <w:b/>
          <w:bCs/>
        </w:rPr>
        <w:t>-Linear Regression</w:t>
      </w:r>
    </w:p>
    <w:tbl>
      <w:tblPr>
        <w:tblStyle w:val="TableGrid"/>
        <w:tblW w:w="0" w:type="auto"/>
        <w:tblLook w:val="04A0" w:firstRow="1" w:lastRow="0" w:firstColumn="1" w:lastColumn="0" w:noHBand="0" w:noVBand="1"/>
      </w:tblPr>
      <w:tblGrid>
        <w:gridCol w:w="2411"/>
        <w:gridCol w:w="2256"/>
        <w:gridCol w:w="2466"/>
        <w:gridCol w:w="2217"/>
      </w:tblGrid>
      <w:tr w:rsidR="0067084F" w:rsidRPr="00CB73CF" w14:paraId="4AA89E79" w14:textId="77777777" w:rsidTr="008A701E">
        <w:tc>
          <w:tcPr>
            <w:tcW w:w="2411" w:type="dxa"/>
          </w:tcPr>
          <w:p w14:paraId="3BA40061" w14:textId="77777777" w:rsidR="0067084F" w:rsidRPr="00CB73CF" w:rsidRDefault="0067084F" w:rsidP="008A701E">
            <w:pPr>
              <w:rPr>
                <w:b/>
                <w:bCs/>
              </w:rPr>
            </w:pPr>
            <w:r w:rsidRPr="00CB73CF">
              <w:rPr>
                <w:b/>
                <w:bCs/>
              </w:rPr>
              <w:t>Model</w:t>
            </w:r>
          </w:p>
        </w:tc>
        <w:tc>
          <w:tcPr>
            <w:tcW w:w="2256" w:type="dxa"/>
          </w:tcPr>
          <w:p w14:paraId="1DAF7031" w14:textId="77777777" w:rsidR="0067084F" w:rsidRPr="00CB73CF" w:rsidRDefault="0067084F" w:rsidP="008A701E">
            <w:pPr>
              <w:rPr>
                <w:b/>
                <w:bCs/>
              </w:rPr>
            </w:pPr>
            <w:r w:rsidRPr="00CB73CF">
              <w:rPr>
                <w:b/>
                <w:bCs/>
              </w:rPr>
              <w:t>R</w:t>
            </w:r>
          </w:p>
        </w:tc>
        <w:tc>
          <w:tcPr>
            <w:tcW w:w="2466" w:type="dxa"/>
          </w:tcPr>
          <w:p w14:paraId="6E6FD14E" w14:textId="77777777" w:rsidR="0067084F" w:rsidRPr="00CB73CF" w:rsidRDefault="0067084F" w:rsidP="008A701E">
            <w:pPr>
              <w:rPr>
                <w:b/>
                <w:bCs/>
              </w:rPr>
            </w:pPr>
            <w:r w:rsidRPr="00CB73CF">
              <w:rPr>
                <w:b/>
                <w:bCs/>
              </w:rPr>
              <w:t>R Squared</w:t>
            </w:r>
          </w:p>
        </w:tc>
        <w:tc>
          <w:tcPr>
            <w:tcW w:w="2217" w:type="dxa"/>
          </w:tcPr>
          <w:p w14:paraId="52BD7E71" w14:textId="77777777" w:rsidR="0067084F" w:rsidRPr="00CB73CF" w:rsidRDefault="0067084F" w:rsidP="008A701E">
            <w:pPr>
              <w:rPr>
                <w:b/>
                <w:bCs/>
              </w:rPr>
            </w:pPr>
            <w:r w:rsidRPr="00CB73CF">
              <w:rPr>
                <w:b/>
                <w:bCs/>
              </w:rPr>
              <w:t>Adjusted R Square</w:t>
            </w:r>
          </w:p>
        </w:tc>
      </w:tr>
      <w:tr w:rsidR="0067084F" w14:paraId="1A660AA0" w14:textId="77777777" w:rsidTr="008A701E">
        <w:tc>
          <w:tcPr>
            <w:tcW w:w="2411" w:type="dxa"/>
          </w:tcPr>
          <w:p w14:paraId="41D4779A" w14:textId="77777777" w:rsidR="0067084F" w:rsidRDefault="0067084F" w:rsidP="008A701E">
            <w:r>
              <w:t>1</w:t>
            </w:r>
          </w:p>
        </w:tc>
        <w:tc>
          <w:tcPr>
            <w:tcW w:w="2256" w:type="dxa"/>
          </w:tcPr>
          <w:p w14:paraId="0EFD1B27" w14:textId="77777777" w:rsidR="0067084F" w:rsidRDefault="0067084F" w:rsidP="008A701E">
            <w:r>
              <w:t>0.094</w:t>
            </w:r>
          </w:p>
        </w:tc>
        <w:tc>
          <w:tcPr>
            <w:tcW w:w="2466" w:type="dxa"/>
          </w:tcPr>
          <w:p w14:paraId="1F07503B" w14:textId="77777777" w:rsidR="0067084F" w:rsidRDefault="0067084F" w:rsidP="008A701E">
            <w:r>
              <w:t>0.009</w:t>
            </w:r>
          </w:p>
        </w:tc>
        <w:tc>
          <w:tcPr>
            <w:tcW w:w="2217" w:type="dxa"/>
          </w:tcPr>
          <w:p w14:paraId="769DAF96" w14:textId="77777777" w:rsidR="0067084F" w:rsidRDefault="0067084F" w:rsidP="008A701E">
            <w:r>
              <w:t>-0.060</w:t>
            </w:r>
          </w:p>
        </w:tc>
      </w:tr>
    </w:tbl>
    <w:p w14:paraId="3D304F45" w14:textId="0BE88B8C" w:rsidR="0067084F" w:rsidRDefault="0067084F" w:rsidP="007D2BFB">
      <w:pPr>
        <w:ind w:firstLine="0"/>
      </w:pPr>
    </w:p>
    <w:tbl>
      <w:tblPr>
        <w:tblStyle w:val="TableGrid"/>
        <w:tblW w:w="0" w:type="auto"/>
        <w:tblLook w:val="04A0" w:firstRow="1" w:lastRow="0" w:firstColumn="1" w:lastColumn="0" w:noHBand="0" w:noVBand="1"/>
      </w:tblPr>
      <w:tblGrid>
        <w:gridCol w:w="1310"/>
        <w:gridCol w:w="1857"/>
        <w:gridCol w:w="1590"/>
        <w:gridCol w:w="1062"/>
        <w:gridCol w:w="1105"/>
        <w:gridCol w:w="1376"/>
        <w:gridCol w:w="1050"/>
      </w:tblGrid>
      <w:tr w:rsidR="0067084F" w14:paraId="5EE8E901" w14:textId="72CA1309" w:rsidTr="0067084F">
        <w:tc>
          <w:tcPr>
            <w:tcW w:w="1123" w:type="dxa"/>
          </w:tcPr>
          <w:p w14:paraId="3BD67550" w14:textId="77777777" w:rsidR="0067084F" w:rsidRDefault="0067084F" w:rsidP="007D2BFB">
            <w:pPr>
              <w:ind w:firstLine="0"/>
            </w:pPr>
          </w:p>
        </w:tc>
        <w:tc>
          <w:tcPr>
            <w:tcW w:w="1723" w:type="dxa"/>
          </w:tcPr>
          <w:p w14:paraId="2D5F46F8" w14:textId="666AFAC5" w:rsidR="0067084F" w:rsidRPr="0067084F" w:rsidRDefault="0067084F" w:rsidP="0067084F">
            <w:pPr>
              <w:ind w:firstLine="0"/>
              <w:jc w:val="center"/>
              <w:rPr>
                <w:b/>
                <w:bCs/>
              </w:rPr>
            </w:pPr>
            <w:r w:rsidRPr="0067084F">
              <w:rPr>
                <w:b/>
                <w:bCs/>
              </w:rPr>
              <w:t>Unstandardized B</w:t>
            </w:r>
          </w:p>
        </w:tc>
        <w:tc>
          <w:tcPr>
            <w:tcW w:w="1530" w:type="dxa"/>
          </w:tcPr>
          <w:p w14:paraId="3B3267D1" w14:textId="3F9CD464" w:rsidR="0067084F" w:rsidRPr="0067084F" w:rsidRDefault="0067084F" w:rsidP="0067084F">
            <w:pPr>
              <w:ind w:firstLine="0"/>
              <w:jc w:val="center"/>
              <w:rPr>
                <w:b/>
                <w:bCs/>
              </w:rPr>
            </w:pPr>
            <w:r w:rsidRPr="0067084F">
              <w:rPr>
                <w:b/>
                <w:bCs/>
              </w:rPr>
              <w:t>Standardized Coefficients</w:t>
            </w:r>
          </w:p>
        </w:tc>
        <w:tc>
          <w:tcPr>
            <w:tcW w:w="1169" w:type="dxa"/>
          </w:tcPr>
          <w:p w14:paraId="17C5A0F5" w14:textId="38E3DF3D" w:rsidR="0067084F" w:rsidRPr="0067084F" w:rsidRDefault="0067084F" w:rsidP="0067084F">
            <w:pPr>
              <w:ind w:firstLine="0"/>
              <w:jc w:val="center"/>
              <w:rPr>
                <w:b/>
                <w:bCs/>
              </w:rPr>
            </w:pPr>
            <w:r w:rsidRPr="0067084F">
              <w:rPr>
                <w:b/>
                <w:bCs/>
              </w:rPr>
              <w:t>T</w:t>
            </w:r>
          </w:p>
        </w:tc>
        <w:tc>
          <w:tcPr>
            <w:tcW w:w="1225" w:type="dxa"/>
          </w:tcPr>
          <w:p w14:paraId="13BC9D4A" w14:textId="7DF38CA0" w:rsidR="0067084F" w:rsidRPr="0067084F" w:rsidRDefault="0067084F" w:rsidP="0067084F">
            <w:pPr>
              <w:ind w:firstLine="0"/>
              <w:jc w:val="center"/>
              <w:rPr>
                <w:b/>
                <w:bCs/>
              </w:rPr>
            </w:pPr>
            <w:r w:rsidRPr="0067084F">
              <w:rPr>
                <w:b/>
                <w:bCs/>
              </w:rPr>
              <w:t>Sig</w:t>
            </w:r>
          </w:p>
        </w:tc>
        <w:tc>
          <w:tcPr>
            <w:tcW w:w="1429" w:type="dxa"/>
          </w:tcPr>
          <w:p w14:paraId="45EAE1E5" w14:textId="3B49033F" w:rsidR="0067084F" w:rsidRPr="0067084F" w:rsidRDefault="0067084F" w:rsidP="0067084F">
            <w:pPr>
              <w:ind w:firstLine="0"/>
              <w:jc w:val="center"/>
              <w:rPr>
                <w:b/>
                <w:bCs/>
              </w:rPr>
            </w:pPr>
            <w:r w:rsidRPr="0067084F">
              <w:rPr>
                <w:b/>
                <w:bCs/>
              </w:rPr>
              <w:t>Tolerance</w:t>
            </w:r>
          </w:p>
        </w:tc>
        <w:tc>
          <w:tcPr>
            <w:tcW w:w="1151" w:type="dxa"/>
          </w:tcPr>
          <w:p w14:paraId="4D4926EC" w14:textId="6710153D" w:rsidR="0067084F" w:rsidRPr="0067084F" w:rsidRDefault="0067084F" w:rsidP="0067084F">
            <w:pPr>
              <w:ind w:firstLine="0"/>
              <w:jc w:val="center"/>
              <w:rPr>
                <w:b/>
                <w:bCs/>
              </w:rPr>
            </w:pPr>
            <w:r w:rsidRPr="0067084F">
              <w:rPr>
                <w:b/>
                <w:bCs/>
              </w:rPr>
              <w:t>VIF</w:t>
            </w:r>
          </w:p>
        </w:tc>
      </w:tr>
      <w:tr w:rsidR="0067084F" w14:paraId="1E7455EF" w14:textId="0A66FFE2" w:rsidTr="0067084F">
        <w:tc>
          <w:tcPr>
            <w:tcW w:w="1123" w:type="dxa"/>
          </w:tcPr>
          <w:p w14:paraId="283FAAE6" w14:textId="04E0676A" w:rsidR="0067084F" w:rsidRPr="0067084F" w:rsidRDefault="0067084F" w:rsidP="0067084F">
            <w:pPr>
              <w:ind w:firstLine="0"/>
              <w:jc w:val="center"/>
              <w:rPr>
                <w:b/>
                <w:bCs/>
              </w:rPr>
            </w:pPr>
            <w:r w:rsidRPr="0067084F">
              <w:rPr>
                <w:b/>
                <w:bCs/>
              </w:rPr>
              <w:t>(Constant)</w:t>
            </w:r>
          </w:p>
        </w:tc>
        <w:tc>
          <w:tcPr>
            <w:tcW w:w="1723" w:type="dxa"/>
          </w:tcPr>
          <w:p w14:paraId="2D8C03BC" w14:textId="27A24F68" w:rsidR="0067084F" w:rsidRDefault="0067084F" w:rsidP="007D2BFB">
            <w:pPr>
              <w:ind w:firstLine="0"/>
            </w:pPr>
            <w:r>
              <w:t>52.214</w:t>
            </w:r>
          </w:p>
        </w:tc>
        <w:tc>
          <w:tcPr>
            <w:tcW w:w="1530" w:type="dxa"/>
          </w:tcPr>
          <w:p w14:paraId="6F781664" w14:textId="77777777" w:rsidR="0067084F" w:rsidRDefault="0067084F" w:rsidP="007D2BFB">
            <w:pPr>
              <w:ind w:firstLine="0"/>
            </w:pPr>
          </w:p>
        </w:tc>
        <w:tc>
          <w:tcPr>
            <w:tcW w:w="1169" w:type="dxa"/>
          </w:tcPr>
          <w:p w14:paraId="6CFFE506" w14:textId="7ABC62DF" w:rsidR="0067084F" w:rsidRDefault="0067084F" w:rsidP="007D2BFB">
            <w:pPr>
              <w:ind w:firstLine="0"/>
            </w:pPr>
            <w:r>
              <w:t>3.478</w:t>
            </w:r>
          </w:p>
        </w:tc>
        <w:tc>
          <w:tcPr>
            <w:tcW w:w="1225" w:type="dxa"/>
          </w:tcPr>
          <w:p w14:paraId="30020A32" w14:textId="191980BC" w:rsidR="0067084F" w:rsidRDefault="0067084F" w:rsidP="007D2BFB">
            <w:pPr>
              <w:ind w:firstLine="0"/>
            </w:pPr>
            <w:r>
              <w:t>0.001</w:t>
            </w:r>
          </w:p>
        </w:tc>
        <w:tc>
          <w:tcPr>
            <w:tcW w:w="1429" w:type="dxa"/>
          </w:tcPr>
          <w:p w14:paraId="594DF31C" w14:textId="77777777" w:rsidR="0067084F" w:rsidRDefault="0067084F" w:rsidP="007D2BFB">
            <w:pPr>
              <w:ind w:firstLine="0"/>
            </w:pPr>
          </w:p>
        </w:tc>
        <w:tc>
          <w:tcPr>
            <w:tcW w:w="1151" w:type="dxa"/>
          </w:tcPr>
          <w:p w14:paraId="2C7333E8" w14:textId="77777777" w:rsidR="0067084F" w:rsidRDefault="0067084F" w:rsidP="007D2BFB">
            <w:pPr>
              <w:ind w:firstLine="0"/>
            </w:pPr>
          </w:p>
        </w:tc>
      </w:tr>
      <w:tr w:rsidR="0067084F" w14:paraId="2E4E5199" w14:textId="5A9B049A" w:rsidTr="0067084F">
        <w:tc>
          <w:tcPr>
            <w:tcW w:w="1123" w:type="dxa"/>
          </w:tcPr>
          <w:p w14:paraId="701186B7" w14:textId="1ECEA302" w:rsidR="0067084F" w:rsidRPr="0067084F" w:rsidRDefault="0067084F" w:rsidP="0067084F">
            <w:pPr>
              <w:ind w:firstLine="0"/>
              <w:jc w:val="center"/>
              <w:rPr>
                <w:b/>
                <w:bCs/>
              </w:rPr>
            </w:pPr>
            <w:r w:rsidRPr="0067084F">
              <w:rPr>
                <w:b/>
                <w:bCs/>
              </w:rPr>
              <w:t>Approach</w:t>
            </w:r>
          </w:p>
        </w:tc>
        <w:tc>
          <w:tcPr>
            <w:tcW w:w="1723" w:type="dxa"/>
          </w:tcPr>
          <w:p w14:paraId="6B6A12F6" w14:textId="2221606F" w:rsidR="0067084F" w:rsidRDefault="0067084F" w:rsidP="007D2BFB">
            <w:pPr>
              <w:ind w:firstLine="0"/>
            </w:pPr>
            <w:r>
              <w:t>-0.086</w:t>
            </w:r>
          </w:p>
        </w:tc>
        <w:tc>
          <w:tcPr>
            <w:tcW w:w="1530" w:type="dxa"/>
          </w:tcPr>
          <w:p w14:paraId="5F666A91" w14:textId="3ED37368" w:rsidR="0067084F" w:rsidRDefault="0067084F" w:rsidP="007D2BFB">
            <w:pPr>
              <w:ind w:firstLine="0"/>
            </w:pPr>
            <w:r>
              <w:t>-0.007</w:t>
            </w:r>
          </w:p>
        </w:tc>
        <w:tc>
          <w:tcPr>
            <w:tcW w:w="1169" w:type="dxa"/>
          </w:tcPr>
          <w:p w14:paraId="7713189C" w14:textId="781E2A8D" w:rsidR="0067084F" w:rsidRDefault="0067084F" w:rsidP="007D2BFB">
            <w:pPr>
              <w:ind w:firstLine="0"/>
            </w:pPr>
            <w:r>
              <w:t>-0.041</w:t>
            </w:r>
          </w:p>
        </w:tc>
        <w:tc>
          <w:tcPr>
            <w:tcW w:w="1225" w:type="dxa"/>
          </w:tcPr>
          <w:p w14:paraId="32A41401" w14:textId="484AF9E6" w:rsidR="0067084F" w:rsidRDefault="0067084F" w:rsidP="007D2BFB">
            <w:pPr>
              <w:ind w:firstLine="0"/>
            </w:pPr>
            <w:r>
              <w:t>0.968</w:t>
            </w:r>
          </w:p>
        </w:tc>
        <w:tc>
          <w:tcPr>
            <w:tcW w:w="1429" w:type="dxa"/>
          </w:tcPr>
          <w:p w14:paraId="5BA0439A" w14:textId="4AC74820" w:rsidR="0067084F" w:rsidRDefault="0067084F" w:rsidP="007D2BFB">
            <w:pPr>
              <w:ind w:firstLine="0"/>
            </w:pPr>
            <w:r>
              <w:t>0.799</w:t>
            </w:r>
          </w:p>
        </w:tc>
        <w:tc>
          <w:tcPr>
            <w:tcW w:w="1151" w:type="dxa"/>
          </w:tcPr>
          <w:p w14:paraId="080C6011" w14:textId="735D01DE" w:rsidR="0067084F" w:rsidRDefault="0067084F" w:rsidP="007D2BFB">
            <w:pPr>
              <w:ind w:firstLine="0"/>
            </w:pPr>
            <w:r>
              <w:t>1.252</w:t>
            </w:r>
          </w:p>
        </w:tc>
      </w:tr>
      <w:tr w:rsidR="0067084F" w14:paraId="068E5AC0" w14:textId="5DCE10AA" w:rsidTr="0067084F">
        <w:tc>
          <w:tcPr>
            <w:tcW w:w="1123" w:type="dxa"/>
          </w:tcPr>
          <w:p w14:paraId="0D9D2E94" w14:textId="78292924" w:rsidR="0067084F" w:rsidRPr="0067084F" w:rsidRDefault="0067084F" w:rsidP="0067084F">
            <w:pPr>
              <w:ind w:firstLine="0"/>
              <w:jc w:val="center"/>
              <w:rPr>
                <w:b/>
                <w:bCs/>
              </w:rPr>
            </w:pPr>
            <w:r w:rsidRPr="0067084F">
              <w:rPr>
                <w:b/>
                <w:bCs/>
              </w:rPr>
              <w:t>Avoidance</w:t>
            </w:r>
          </w:p>
        </w:tc>
        <w:tc>
          <w:tcPr>
            <w:tcW w:w="1723" w:type="dxa"/>
          </w:tcPr>
          <w:p w14:paraId="6210AEFE" w14:textId="2341B187" w:rsidR="0067084F" w:rsidRDefault="0067084F" w:rsidP="007D2BFB">
            <w:pPr>
              <w:ind w:firstLine="0"/>
            </w:pPr>
            <w:r>
              <w:t>0.934</w:t>
            </w:r>
          </w:p>
        </w:tc>
        <w:tc>
          <w:tcPr>
            <w:tcW w:w="1530" w:type="dxa"/>
          </w:tcPr>
          <w:p w14:paraId="35162E33" w14:textId="2FB9B291" w:rsidR="0067084F" w:rsidRDefault="0067084F" w:rsidP="007D2BFB">
            <w:pPr>
              <w:ind w:firstLine="0"/>
            </w:pPr>
            <w:r>
              <w:t>0.034</w:t>
            </w:r>
          </w:p>
        </w:tc>
        <w:tc>
          <w:tcPr>
            <w:tcW w:w="1169" w:type="dxa"/>
          </w:tcPr>
          <w:p w14:paraId="2EF731E5" w14:textId="329B75FA" w:rsidR="0067084F" w:rsidRDefault="0067084F" w:rsidP="007D2BFB">
            <w:pPr>
              <w:ind w:firstLine="0"/>
            </w:pPr>
            <w:r>
              <w:t>0.201</w:t>
            </w:r>
          </w:p>
        </w:tc>
        <w:tc>
          <w:tcPr>
            <w:tcW w:w="1225" w:type="dxa"/>
          </w:tcPr>
          <w:p w14:paraId="5C41F016" w14:textId="01D487E4" w:rsidR="0067084F" w:rsidRDefault="0067084F" w:rsidP="007D2BFB">
            <w:pPr>
              <w:ind w:firstLine="0"/>
            </w:pPr>
            <w:r>
              <w:t>0.842</w:t>
            </w:r>
          </w:p>
        </w:tc>
        <w:tc>
          <w:tcPr>
            <w:tcW w:w="1429" w:type="dxa"/>
          </w:tcPr>
          <w:p w14:paraId="68A46A49" w14:textId="56536A42" w:rsidR="0067084F" w:rsidRDefault="0067084F" w:rsidP="007D2BFB">
            <w:pPr>
              <w:ind w:firstLine="0"/>
            </w:pPr>
            <w:r>
              <w:t>0.811</w:t>
            </w:r>
          </w:p>
        </w:tc>
        <w:tc>
          <w:tcPr>
            <w:tcW w:w="1151" w:type="dxa"/>
          </w:tcPr>
          <w:p w14:paraId="45623534" w14:textId="75DB42FE" w:rsidR="0067084F" w:rsidRDefault="0067084F" w:rsidP="007D2BFB">
            <w:pPr>
              <w:ind w:firstLine="0"/>
            </w:pPr>
            <w:r>
              <w:t>1.234</w:t>
            </w:r>
          </w:p>
        </w:tc>
      </w:tr>
      <w:tr w:rsidR="0067084F" w14:paraId="7A88DD87" w14:textId="77777777" w:rsidTr="0067084F">
        <w:tc>
          <w:tcPr>
            <w:tcW w:w="1123" w:type="dxa"/>
          </w:tcPr>
          <w:p w14:paraId="774BA729" w14:textId="339B3E01" w:rsidR="0067084F" w:rsidRPr="0067084F" w:rsidRDefault="0067084F" w:rsidP="0067084F">
            <w:pPr>
              <w:ind w:firstLine="0"/>
              <w:jc w:val="center"/>
              <w:rPr>
                <w:b/>
                <w:bCs/>
              </w:rPr>
            </w:pPr>
            <w:r w:rsidRPr="0067084F">
              <w:rPr>
                <w:b/>
                <w:bCs/>
              </w:rPr>
              <w:t>Social</w:t>
            </w:r>
          </w:p>
        </w:tc>
        <w:tc>
          <w:tcPr>
            <w:tcW w:w="1723" w:type="dxa"/>
          </w:tcPr>
          <w:p w14:paraId="2C58C84E" w14:textId="33934F69" w:rsidR="0067084F" w:rsidRDefault="0067084F" w:rsidP="007D2BFB">
            <w:pPr>
              <w:ind w:firstLine="0"/>
            </w:pPr>
            <w:r>
              <w:t>1.362</w:t>
            </w:r>
          </w:p>
        </w:tc>
        <w:tc>
          <w:tcPr>
            <w:tcW w:w="1530" w:type="dxa"/>
          </w:tcPr>
          <w:p w14:paraId="65092E47" w14:textId="2353E6F8" w:rsidR="0067084F" w:rsidRDefault="0067084F" w:rsidP="007D2BFB">
            <w:pPr>
              <w:ind w:firstLine="0"/>
            </w:pPr>
            <w:r>
              <w:t>0.083</w:t>
            </w:r>
          </w:p>
        </w:tc>
        <w:tc>
          <w:tcPr>
            <w:tcW w:w="1169" w:type="dxa"/>
          </w:tcPr>
          <w:p w14:paraId="2C4140BF" w14:textId="6C3E92DA" w:rsidR="0067084F" w:rsidRDefault="0067084F" w:rsidP="007D2BFB">
            <w:pPr>
              <w:ind w:firstLine="0"/>
            </w:pPr>
            <w:r>
              <w:t>0.527</w:t>
            </w:r>
          </w:p>
        </w:tc>
        <w:tc>
          <w:tcPr>
            <w:tcW w:w="1225" w:type="dxa"/>
          </w:tcPr>
          <w:p w14:paraId="5E5DA8E4" w14:textId="3E50B836" w:rsidR="0067084F" w:rsidRDefault="0067084F" w:rsidP="007D2BFB">
            <w:pPr>
              <w:ind w:firstLine="0"/>
            </w:pPr>
            <w:r>
              <w:t>0.601</w:t>
            </w:r>
          </w:p>
        </w:tc>
        <w:tc>
          <w:tcPr>
            <w:tcW w:w="1429" w:type="dxa"/>
          </w:tcPr>
          <w:p w14:paraId="4A2513EF" w14:textId="49F16F8A" w:rsidR="0067084F" w:rsidRDefault="0067084F" w:rsidP="007D2BFB">
            <w:pPr>
              <w:ind w:firstLine="0"/>
            </w:pPr>
            <w:r>
              <w:t>0.929</w:t>
            </w:r>
          </w:p>
        </w:tc>
        <w:tc>
          <w:tcPr>
            <w:tcW w:w="1151" w:type="dxa"/>
          </w:tcPr>
          <w:p w14:paraId="0B7AA140" w14:textId="164CE653" w:rsidR="0067084F" w:rsidRDefault="0067084F" w:rsidP="007D2BFB">
            <w:pPr>
              <w:ind w:firstLine="0"/>
            </w:pPr>
            <w:r>
              <w:t>1.076</w:t>
            </w:r>
          </w:p>
        </w:tc>
      </w:tr>
    </w:tbl>
    <w:p w14:paraId="733E3D5E" w14:textId="77777777" w:rsidR="0067084F" w:rsidRPr="001E2483" w:rsidRDefault="0067084F" w:rsidP="007D2BFB">
      <w:pPr>
        <w:ind w:firstLine="0"/>
      </w:pPr>
    </w:p>
    <w:sectPr w:rsidR="0067084F" w:rsidRPr="001E2483">
      <w:headerReference w:type="default" r:id="rId15"/>
      <w:head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4C65F" w14:textId="77777777" w:rsidR="001C6139" w:rsidRDefault="001C6139">
      <w:pPr>
        <w:spacing w:line="240" w:lineRule="auto"/>
      </w:pPr>
      <w:r>
        <w:separator/>
      </w:r>
    </w:p>
    <w:p w14:paraId="7E5B1295" w14:textId="77777777" w:rsidR="001C6139" w:rsidRDefault="001C6139"/>
  </w:endnote>
  <w:endnote w:type="continuationSeparator" w:id="0">
    <w:p w14:paraId="16EA00C4" w14:textId="77777777" w:rsidR="001C6139" w:rsidRDefault="001C6139">
      <w:pPr>
        <w:spacing w:line="240" w:lineRule="auto"/>
      </w:pPr>
      <w:r>
        <w:continuationSeparator/>
      </w:r>
    </w:p>
    <w:p w14:paraId="2A2C27E3" w14:textId="77777777" w:rsidR="001C6139" w:rsidRDefault="001C6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1B493" w14:textId="77777777" w:rsidR="001C6139" w:rsidRDefault="001C6139">
      <w:pPr>
        <w:spacing w:line="240" w:lineRule="auto"/>
      </w:pPr>
      <w:r>
        <w:separator/>
      </w:r>
    </w:p>
    <w:p w14:paraId="22293941" w14:textId="77777777" w:rsidR="001C6139" w:rsidRDefault="001C6139"/>
  </w:footnote>
  <w:footnote w:type="continuationSeparator" w:id="0">
    <w:p w14:paraId="139A820D" w14:textId="77777777" w:rsidR="001C6139" w:rsidRDefault="001C6139">
      <w:pPr>
        <w:spacing w:line="240" w:lineRule="auto"/>
      </w:pPr>
      <w:r>
        <w:continuationSeparator/>
      </w:r>
    </w:p>
    <w:p w14:paraId="297BE55F" w14:textId="77777777" w:rsidR="001C6139" w:rsidRDefault="001C6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7A41C" w14:textId="1D7C5F6B" w:rsidR="004012EA" w:rsidRDefault="001C6139">
    <w:pPr>
      <w:pStyle w:val="Header"/>
    </w:pPr>
    <w:sdt>
      <w:sdtPr>
        <w:rPr>
          <w:rStyle w:val="Strong"/>
        </w:rPr>
        <w:alias w:val="Running head"/>
        <w:tag w:val=""/>
        <w:id w:val="12739865"/>
        <w:placeholder>
          <w:docPart w:val="1717696EC219BB4882FEDA155EE32329"/>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75BCC">
          <w:rPr>
            <w:rStyle w:val="Strong"/>
          </w:rPr>
          <w:t xml:space="preserve">anxiety and coping style of first-year nursing students </w:t>
        </w:r>
      </w:sdtContent>
    </w:sdt>
    <w:r w:rsidR="004012EA">
      <w:rPr>
        <w:rStyle w:val="Strong"/>
      </w:rPr>
      <w:ptab w:relativeTo="margin" w:alignment="right" w:leader="none"/>
    </w:r>
    <w:r w:rsidR="004012EA">
      <w:rPr>
        <w:rStyle w:val="Strong"/>
      </w:rPr>
      <w:fldChar w:fldCharType="begin"/>
    </w:r>
    <w:r w:rsidR="004012EA">
      <w:rPr>
        <w:rStyle w:val="Strong"/>
      </w:rPr>
      <w:instrText xml:space="preserve"> PAGE   \* MERGEFORMAT </w:instrText>
    </w:r>
    <w:r w:rsidR="004012EA">
      <w:rPr>
        <w:rStyle w:val="Strong"/>
      </w:rPr>
      <w:fldChar w:fldCharType="separate"/>
    </w:r>
    <w:r w:rsidR="004012EA">
      <w:rPr>
        <w:rStyle w:val="Strong"/>
        <w:noProof/>
      </w:rPr>
      <w:t>8</w:t>
    </w:r>
    <w:r w:rsidR="004012EA">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64A11" w14:textId="0516F999" w:rsidR="004012EA" w:rsidRDefault="004012EA">
    <w:pPr>
      <w:pStyle w:val="Header"/>
      <w:rPr>
        <w:rStyle w:val="Strong"/>
      </w:rPr>
    </w:pPr>
    <w:r>
      <w:t xml:space="preserve">Running head: </w:t>
    </w:r>
    <w:sdt>
      <w:sdtPr>
        <w:rPr>
          <w:rStyle w:val="Strong"/>
        </w:rPr>
        <w:alias w:val="Running head"/>
        <w:tag w:val=""/>
        <w:id w:val="-696842620"/>
        <w:placeholder>
          <w:docPart w:val="C875CF03A847BC4A86C570B77E45CABF"/>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775BCC">
          <w:rPr>
            <w:rStyle w:val="Strong"/>
          </w:rPr>
          <w:t xml:space="preserve">anxiety and coping style of first-year nursing students </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842"/>
    <w:rsid w:val="00003A2A"/>
    <w:rsid w:val="00006AB6"/>
    <w:rsid w:val="000076E7"/>
    <w:rsid w:val="0001741D"/>
    <w:rsid w:val="00023F9F"/>
    <w:rsid w:val="000335D4"/>
    <w:rsid w:val="00051F0D"/>
    <w:rsid w:val="00053EDD"/>
    <w:rsid w:val="00054791"/>
    <w:rsid w:val="00062A3F"/>
    <w:rsid w:val="000808C3"/>
    <w:rsid w:val="00091EC8"/>
    <w:rsid w:val="0009303E"/>
    <w:rsid w:val="0009574D"/>
    <w:rsid w:val="000A4FAD"/>
    <w:rsid w:val="000A635C"/>
    <w:rsid w:val="000B582F"/>
    <w:rsid w:val="000D0672"/>
    <w:rsid w:val="000D177A"/>
    <w:rsid w:val="000D3F41"/>
    <w:rsid w:val="000E2FC9"/>
    <w:rsid w:val="001058D1"/>
    <w:rsid w:val="0011649C"/>
    <w:rsid w:val="00120306"/>
    <w:rsid w:val="0012355F"/>
    <w:rsid w:val="00135B54"/>
    <w:rsid w:val="00142102"/>
    <w:rsid w:val="00145EB3"/>
    <w:rsid w:val="001469EF"/>
    <w:rsid w:val="00166ED6"/>
    <w:rsid w:val="00167890"/>
    <w:rsid w:val="001728D6"/>
    <w:rsid w:val="0017384E"/>
    <w:rsid w:val="00176A8E"/>
    <w:rsid w:val="00182E02"/>
    <w:rsid w:val="00186192"/>
    <w:rsid w:val="00187332"/>
    <w:rsid w:val="00193C94"/>
    <w:rsid w:val="001A22FA"/>
    <w:rsid w:val="001B1A36"/>
    <w:rsid w:val="001B7279"/>
    <w:rsid w:val="001C6139"/>
    <w:rsid w:val="001D2DB2"/>
    <w:rsid w:val="001D6598"/>
    <w:rsid w:val="001E2483"/>
    <w:rsid w:val="001E5AE7"/>
    <w:rsid w:val="001F120B"/>
    <w:rsid w:val="00200A12"/>
    <w:rsid w:val="00204FC4"/>
    <w:rsid w:val="00205ADB"/>
    <w:rsid w:val="00211B81"/>
    <w:rsid w:val="00211D10"/>
    <w:rsid w:val="00220EAD"/>
    <w:rsid w:val="002257FB"/>
    <w:rsid w:val="0023490F"/>
    <w:rsid w:val="0026486D"/>
    <w:rsid w:val="00265BE0"/>
    <w:rsid w:val="0027127B"/>
    <w:rsid w:val="00275905"/>
    <w:rsid w:val="0027603A"/>
    <w:rsid w:val="002812F5"/>
    <w:rsid w:val="002856BC"/>
    <w:rsid w:val="0028655B"/>
    <w:rsid w:val="00287BF0"/>
    <w:rsid w:val="002919C7"/>
    <w:rsid w:val="002A0539"/>
    <w:rsid w:val="002A0718"/>
    <w:rsid w:val="002A6235"/>
    <w:rsid w:val="002B1CB7"/>
    <w:rsid w:val="002B68FC"/>
    <w:rsid w:val="002D07A9"/>
    <w:rsid w:val="002E0618"/>
    <w:rsid w:val="002E1A21"/>
    <w:rsid w:val="002E55B9"/>
    <w:rsid w:val="002F7E13"/>
    <w:rsid w:val="00305F8C"/>
    <w:rsid w:val="00307842"/>
    <w:rsid w:val="003179E6"/>
    <w:rsid w:val="00317A33"/>
    <w:rsid w:val="00330B12"/>
    <w:rsid w:val="00330B9D"/>
    <w:rsid w:val="0034093B"/>
    <w:rsid w:val="003533FC"/>
    <w:rsid w:val="003538CD"/>
    <w:rsid w:val="00355C79"/>
    <w:rsid w:val="00355DCA"/>
    <w:rsid w:val="00361F55"/>
    <w:rsid w:val="00364B4F"/>
    <w:rsid w:val="00364DD4"/>
    <w:rsid w:val="00366D6E"/>
    <w:rsid w:val="003779C9"/>
    <w:rsid w:val="003841B8"/>
    <w:rsid w:val="00385C94"/>
    <w:rsid w:val="00395FEA"/>
    <w:rsid w:val="003972BB"/>
    <w:rsid w:val="00397578"/>
    <w:rsid w:val="003A3BCB"/>
    <w:rsid w:val="003A3EEF"/>
    <w:rsid w:val="003C0706"/>
    <w:rsid w:val="003E07D2"/>
    <w:rsid w:val="003F5B5C"/>
    <w:rsid w:val="004012EA"/>
    <w:rsid w:val="004013EA"/>
    <w:rsid w:val="0040639B"/>
    <w:rsid w:val="00411E8E"/>
    <w:rsid w:val="00413FD8"/>
    <w:rsid w:val="00417FF7"/>
    <w:rsid w:val="004209D6"/>
    <w:rsid w:val="004214D1"/>
    <w:rsid w:val="0044046A"/>
    <w:rsid w:val="0045195D"/>
    <w:rsid w:val="00453F80"/>
    <w:rsid w:val="00457BE6"/>
    <w:rsid w:val="004612F5"/>
    <w:rsid w:val="00467BE3"/>
    <w:rsid w:val="0048226C"/>
    <w:rsid w:val="00484DEF"/>
    <w:rsid w:val="00485F54"/>
    <w:rsid w:val="00486174"/>
    <w:rsid w:val="00491269"/>
    <w:rsid w:val="00497838"/>
    <w:rsid w:val="00497C03"/>
    <w:rsid w:val="004A11CA"/>
    <w:rsid w:val="004B390B"/>
    <w:rsid w:val="004B7608"/>
    <w:rsid w:val="004C0090"/>
    <w:rsid w:val="004C3390"/>
    <w:rsid w:val="004C7161"/>
    <w:rsid w:val="004D4F46"/>
    <w:rsid w:val="004E0504"/>
    <w:rsid w:val="004E1FDA"/>
    <w:rsid w:val="004E5998"/>
    <w:rsid w:val="00505FBA"/>
    <w:rsid w:val="00507419"/>
    <w:rsid w:val="00514200"/>
    <w:rsid w:val="00517B35"/>
    <w:rsid w:val="00522C3B"/>
    <w:rsid w:val="00525065"/>
    <w:rsid w:val="0052744C"/>
    <w:rsid w:val="00531373"/>
    <w:rsid w:val="005419EB"/>
    <w:rsid w:val="00543A41"/>
    <w:rsid w:val="00546CA1"/>
    <w:rsid w:val="00551A02"/>
    <w:rsid w:val="005529B6"/>
    <w:rsid w:val="005534FA"/>
    <w:rsid w:val="00554A94"/>
    <w:rsid w:val="005604E4"/>
    <w:rsid w:val="00570B25"/>
    <w:rsid w:val="00571FCA"/>
    <w:rsid w:val="0057300B"/>
    <w:rsid w:val="0057307F"/>
    <w:rsid w:val="005737C8"/>
    <w:rsid w:val="005762E8"/>
    <w:rsid w:val="00577E6A"/>
    <w:rsid w:val="005814D7"/>
    <w:rsid w:val="00594407"/>
    <w:rsid w:val="005A7F65"/>
    <w:rsid w:val="005B04CE"/>
    <w:rsid w:val="005B0E8E"/>
    <w:rsid w:val="005C2354"/>
    <w:rsid w:val="005C3C10"/>
    <w:rsid w:val="005C49A3"/>
    <w:rsid w:val="005C4AE5"/>
    <w:rsid w:val="005C638F"/>
    <w:rsid w:val="005C63DB"/>
    <w:rsid w:val="005D3A03"/>
    <w:rsid w:val="005D3C22"/>
    <w:rsid w:val="005D5CAB"/>
    <w:rsid w:val="005E4089"/>
    <w:rsid w:val="005E54FD"/>
    <w:rsid w:val="005F01D5"/>
    <w:rsid w:val="005F09B4"/>
    <w:rsid w:val="005F4E5E"/>
    <w:rsid w:val="006030D9"/>
    <w:rsid w:val="0060418A"/>
    <w:rsid w:val="00611BB3"/>
    <w:rsid w:val="00621DF2"/>
    <w:rsid w:val="006316FD"/>
    <w:rsid w:val="00646C9C"/>
    <w:rsid w:val="00650A18"/>
    <w:rsid w:val="006513CC"/>
    <w:rsid w:val="00654E1C"/>
    <w:rsid w:val="0067084F"/>
    <w:rsid w:val="00681443"/>
    <w:rsid w:val="00690285"/>
    <w:rsid w:val="00693767"/>
    <w:rsid w:val="006946A0"/>
    <w:rsid w:val="00697AD5"/>
    <w:rsid w:val="006A3C6B"/>
    <w:rsid w:val="006A3DAF"/>
    <w:rsid w:val="006B27C3"/>
    <w:rsid w:val="006D7191"/>
    <w:rsid w:val="006E5388"/>
    <w:rsid w:val="006E5758"/>
    <w:rsid w:val="006E6C5D"/>
    <w:rsid w:val="006F2059"/>
    <w:rsid w:val="00712961"/>
    <w:rsid w:val="007146F7"/>
    <w:rsid w:val="00730892"/>
    <w:rsid w:val="00733384"/>
    <w:rsid w:val="007376F8"/>
    <w:rsid w:val="007404C1"/>
    <w:rsid w:val="00743615"/>
    <w:rsid w:val="00743688"/>
    <w:rsid w:val="00747F36"/>
    <w:rsid w:val="0076634B"/>
    <w:rsid w:val="00774044"/>
    <w:rsid w:val="007754C1"/>
    <w:rsid w:val="00775BCC"/>
    <w:rsid w:val="0077704D"/>
    <w:rsid w:val="007B4990"/>
    <w:rsid w:val="007B538C"/>
    <w:rsid w:val="007B56F4"/>
    <w:rsid w:val="007C71E3"/>
    <w:rsid w:val="007D2BFB"/>
    <w:rsid w:val="007D3AFA"/>
    <w:rsid w:val="007D4967"/>
    <w:rsid w:val="007E0997"/>
    <w:rsid w:val="007E15CE"/>
    <w:rsid w:val="007E5106"/>
    <w:rsid w:val="007F172A"/>
    <w:rsid w:val="008002C0"/>
    <w:rsid w:val="008028FD"/>
    <w:rsid w:val="00803A60"/>
    <w:rsid w:val="00806712"/>
    <w:rsid w:val="00813F7E"/>
    <w:rsid w:val="00816755"/>
    <w:rsid w:val="00820CED"/>
    <w:rsid w:val="008327E6"/>
    <w:rsid w:val="00842A7E"/>
    <w:rsid w:val="0085411A"/>
    <w:rsid w:val="00856869"/>
    <w:rsid w:val="0086129B"/>
    <w:rsid w:val="00861E09"/>
    <w:rsid w:val="00862879"/>
    <w:rsid w:val="00865295"/>
    <w:rsid w:val="0086757E"/>
    <w:rsid w:val="0087118B"/>
    <w:rsid w:val="00894C9D"/>
    <w:rsid w:val="008A181F"/>
    <w:rsid w:val="008A1ECC"/>
    <w:rsid w:val="008A34FA"/>
    <w:rsid w:val="008B324B"/>
    <w:rsid w:val="008C5323"/>
    <w:rsid w:val="008C5A7C"/>
    <w:rsid w:val="008D35AB"/>
    <w:rsid w:val="008D3EBA"/>
    <w:rsid w:val="008D7C3E"/>
    <w:rsid w:val="00907F77"/>
    <w:rsid w:val="00926E67"/>
    <w:rsid w:val="009336A6"/>
    <w:rsid w:val="00942890"/>
    <w:rsid w:val="00945166"/>
    <w:rsid w:val="00953D61"/>
    <w:rsid w:val="009561AF"/>
    <w:rsid w:val="0096054F"/>
    <w:rsid w:val="00981F48"/>
    <w:rsid w:val="00984F0E"/>
    <w:rsid w:val="009873A6"/>
    <w:rsid w:val="009929C6"/>
    <w:rsid w:val="009A6730"/>
    <w:rsid w:val="009A6A3B"/>
    <w:rsid w:val="009B50C4"/>
    <w:rsid w:val="009B6402"/>
    <w:rsid w:val="009C75EE"/>
    <w:rsid w:val="009D2EDE"/>
    <w:rsid w:val="009E2120"/>
    <w:rsid w:val="00A00374"/>
    <w:rsid w:val="00A071E7"/>
    <w:rsid w:val="00A15CF0"/>
    <w:rsid w:val="00A2507A"/>
    <w:rsid w:val="00A535BF"/>
    <w:rsid w:val="00A5410C"/>
    <w:rsid w:val="00A56514"/>
    <w:rsid w:val="00A648B0"/>
    <w:rsid w:val="00A70977"/>
    <w:rsid w:val="00A71514"/>
    <w:rsid w:val="00A73B42"/>
    <w:rsid w:val="00A74007"/>
    <w:rsid w:val="00A74DA0"/>
    <w:rsid w:val="00A90C0B"/>
    <w:rsid w:val="00A91551"/>
    <w:rsid w:val="00A9571A"/>
    <w:rsid w:val="00A957AE"/>
    <w:rsid w:val="00AA660A"/>
    <w:rsid w:val="00AB360C"/>
    <w:rsid w:val="00AB3EE1"/>
    <w:rsid w:val="00AB6B09"/>
    <w:rsid w:val="00AB6F8B"/>
    <w:rsid w:val="00AC5760"/>
    <w:rsid w:val="00AC654E"/>
    <w:rsid w:val="00AC6563"/>
    <w:rsid w:val="00AF5BA8"/>
    <w:rsid w:val="00B011E5"/>
    <w:rsid w:val="00B01FB6"/>
    <w:rsid w:val="00B053CF"/>
    <w:rsid w:val="00B11B02"/>
    <w:rsid w:val="00B11EA1"/>
    <w:rsid w:val="00B12710"/>
    <w:rsid w:val="00B21379"/>
    <w:rsid w:val="00B34F7E"/>
    <w:rsid w:val="00B44601"/>
    <w:rsid w:val="00B4767D"/>
    <w:rsid w:val="00B47C1C"/>
    <w:rsid w:val="00B74C48"/>
    <w:rsid w:val="00B823AA"/>
    <w:rsid w:val="00B85CE5"/>
    <w:rsid w:val="00B91A2B"/>
    <w:rsid w:val="00B9307F"/>
    <w:rsid w:val="00B959D5"/>
    <w:rsid w:val="00BA45DB"/>
    <w:rsid w:val="00BA627F"/>
    <w:rsid w:val="00BA747B"/>
    <w:rsid w:val="00BA74CB"/>
    <w:rsid w:val="00BB0030"/>
    <w:rsid w:val="00BB55B0"/>
    <w:rsid w:val="00BB75B7"/>
    <w:rsid w:val="00BC0EAC"/>
    <w:rsid w:val="00BC343C"/>
    <w:rsid w:val="00BC57E9"/>
    <w:rsid w:val="00BE08EB"/>
    <w:rsid w:val="00BF1E70"/>
    <w:rsid w:val="00BF4184"/>
    <w:rsid w:val="00C0601E"/>
    <w:rsid w:val="00C100F9"/>
    <w:rsid w:val="00C14031"/>
    <w:rsid w:val="00C14700"/>
    <w:rsid w:val="00C17619"/>
    <w:rsid w:val="00C24B26"/>
    <w:rsid w:val="00C30031"/>
    <w:rsid w:val="00C31101"/>
    <w:rsid w:val="00C31D30"/>
    <w:rsid w:val="00C43D85"/>
    <w:rsid w:val="00C45A7F"/>
    <w:rsid w:val="00C551E0"/>
    <w:rsid w:val="00C56F81"/>
    <w:rsid w:val="00C64FBA"/>
    <w:rsid w:val="00C75E78"/>
    <w:rsid w:val="00C766D6"/>
    <w:rsid w:val="00C95878"/>
    <w:rsid w:val="00CA1011"/>
    <w:rsid w:val="00CA139B"/>
    <w:rsid w:val="00CD6E39"/>
    <w:rsid w:val="00CE1EE7"/>
    <w:rsid w:val="00CF4324"/>
    <w:rsid w:val="00CF5947"/>
    <w:rsid w:val="00CF6203"/>
    <w:rsid w:val="00CF6AF2"/>
    <w:rsid w:val="00CF6E91"/>
    <w:rsid w:val="00D0293F"/>
    <w:rsid w:val="00D255D8"/>
    <w:rsid w:val="00D31ABB"/>
    <w:rsid w:val="00D35250"/>
    <w:rsid w:val="00D47C11"/>
    <w:rsid w:val="00D512DD"/>
    <w:rsid w:val="00D63118"/>
    <w:rsid w:val="00D63BD4"/>
    <w:rsid w:val="00D645E4"/>
    <w:rsid w:val="00D76779"/>
    <w:rsid w:val="00D77248"/>
    <w:rsid w:val="00D81218"/>
    <w:rsid w:val="00D85B68"/>
    <w:rsid w:val="00D86E9E"/>
    <w:rsid w:val="00D91294"/>
    <w:rsid w:val="00D9670B"/>
    <w:rsid w:val="00DA02DC"/>
    <w:rsid w:val="00DA559A"/>
    <w:rsid w:val="00DB5040"/>
    <w:rsid w:val="00DB7E46"/>
    <w:rsid w:val="00DD141F"/>
    <w:rsid w:val="00DD459F"/>
    <w:rsid w:val="00DE1AC5"/>
    <w:rsid w:val="00DE3708"/>
    <w:rsid w:val="00DF244C"/>
    <w:rsid w:val="00E00724"/>
    <w:rsid w:val="00E032F4"/>
    <w:rsid w:val="00E05278"/>
    <w:rsid w:val="00E071B4"/>
    <w:rsid w:val="00E121D0"/>
    <w:rsid w:val="00E2284B"/>
    <w:rsid w:val="00E24C46"/>
    <w:rsid w:val="00E342B4"/>
    <w:rsid w:val="00E457D7"/>
    <w:rsid w:val="00E50ADB"/>
    <w:rsid w:val="00E54E13"/>
    <w:rsid w:val="00E6004D"/>
    <w:rsid w:val="00E6179A"/>
    <w:rsid w:val="00E764E5"/>
    <w:rsid w:val="00E81978"/>
    <w:rsid w:val="00EA60A7"/>
    <w:rsid w:val="00EA73B6"/>
    <w:rsid w:val="00EB4898"/>
    <w:rsid w:val="00EC390A"/>
    <w:rsid w:val="00EC3B04"/>
    <w:rsid w:val="00ED60D1"/>
    <w:rsid w:val="00ED7510"/>
    <w:rsid w:val="00EE4837"/>
    <w:rsid w:val="00EE48E8"/>
    <w:rsid w:val="00F16BE9"/>
    <w:rsid w:val="00F20F9B"/>
    <w:rsid w:val="00F220A9"/>
    <w:rsid w:val="00F31585"/>
    <w:rsid w:val="00F32C1C"/>
    <w:rsid w:val="00F379B7"/>
    <w:rsid w:val="00F41CB7"/>
    <w:rsid w:val="00F46396"/>
    <w:rsid w:val="00F525FA"/>
    <w:rsid w:val="00F54E64"/>
    <w:rsid w:val="00F633FC"/>
    <w:rsid w:val="00F85A39"/>
    <w:rsid w:val="00F90E7C"/>
    <w:rsid w:val="00F92BF9"/>
    <w:rsid w:val="00F930C5"/>
    <w:rsid w:val="00F93B9F"/>
    <w:rsid w:val="00F9669C"/>
    <w:rsid w:val="00F97F5B"/>
    <w:rsid w:val="00FA16AF"/>
    <w:rsid w:val="00FA7C2E"/>
    <w:rsid w:val="00FB0A2F"/>
    <w:rsid w:val="00FB4EAC"/>
    <w:rsid w:val="00FC0A03"/>
    <w:rsid w:val="00FC60EE"/>
    <w:rsid w:val="00FD0685"/>
    <w:rsid w:val="00FD349B"/>
    <w:rsid w:val="00FE5A88"/>
    <w:rsid w:val="00FE793B"/>
    <w:rsid w:val="00FF2002"/>
    <w:rsid w:val="00FF4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EB8E1"/>
  <w15:chartTrackingRefBased/>
  <w15:docId w15:val="{B660A080-A92F-A749-8FDC-9CA00E2F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543A41"/>
    <w:rPr>
      <w:color w:val="5F5F5F" w:themeColor="hyperlink"/>
      <w:u w:val="single"/>
    </w:rPr>
  </w:style>
  <w:style w:type="character" w:styleId="UnresolvedMention">
    <w:name w:val="Unresolved Mention"/>
    <w:basedOn w:val="DefaultParagraphFont"/>
    <w:uiPriority w:val="99"/>
    <w:semiHidden/>
    <w:unhideWhenUsed/>
    <w:rsid w:val="00543A41"/>
    <w:rPr>
      <w:color w:val="605E5C"/>
      <w:shd w:val="clear" w:color="auto" w:fill="E1DFDD"/>
    </w:rPr>
  </w:style>
  <w:style w:type="table" w:styleId="GridTable1Light">
    <w:name w:val="Grid Table 1 Light"/>
    <w:basedOn w:val="TableNormal"/>
    <w:uiPriority w:val="46"/>
    <w:rsid w:val="006F205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3">
    <w:name w:val="Plain Table 3"/>
    <w:basedOn w:val="TableNormal"/>
    <w:uiPriority w:val="43"/>
    <w:rsid w:val="000076E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48399411">
      <w:bodyDiv w:val="1"/>
      <w:marLeft w:val="0"/>
      <w:marRight w:val="0"/>
      <w:marTop w:val="0"/>
      <w:marBottom w:val="0"/>
      <w:divBdr>
        <w:top w:val="none" w:sz="0" w:space="0" w:color="auto"/>
        <w:left w:val="none" w:sz="0" w:space="0" w:color="auto"/>
        <w:bottom w:val="none" w:sz="0" w:space="0" w:color="auto"/>
        <w:right w:val="none" w:sz="0" w:space="0" w:color="auto"/>
      </w:divBdr>
    </w:div>
    <w:div w:id="19006774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02346973">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29874887">
      <w:bodyDiv w:val="1"/>
      <w:marLeft w:val="0"/>
      <w:marRight w:val="0"/>
      <w:marTop w:val="0"/>
      <w:marBottom w:val="0"/>
      <w:divBdr>
        <w:top w:val="none" w:sz="0" w:space="0" w:color="auto"/>
        <w:left w:val="none" w:sz="0" w:space="0" w:color="auto"/>
        <w:bottom w:val="none" w:sz="0" w:space="0" w:color="auto"/>
        <w:right w:val="none" w:sz="0" w:space="0" w:color="auto"/>
      </w:divBdr>
    </w:div>
    <w:div w:id="356781869">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45911220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62219590">
      <w:bodyDiv w:val="1"/>
      <w:marLeft w:val="0"/>
      <w:marRight w:val="0"/>
      <w:marTop w:val="0"/>
      <w:marBottom w:val="0"/>
      <w:divBdr>
        <w:top w:val="none" w:sz="0" w:space="0" w:color="auto"/>
        <w:left w:val="none" w:sz="0" w:space="0" w:color="auto"/>
        <w:bottom w:val="none" w:sz="0" w:space="0" w:color="auto"/>
        <w:right w:val="none" w:sz="0" w:space="0" w:color="auto"/>
      </w:divBdr>
    </w:div>
    <w:div w:id="1171405870">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11578876">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63899263">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487238708">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32831967">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59398706">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08087118">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 w:id="213093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80/07448481.2017.1312413"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x.doi.org/10.1080/07448481.2016.126664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080/14623730.2015.1005969"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ccmh.psu.edu/files/2019/09/2018-Annual-Report-9.27.19-FINAL.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dx.doi.org/10/1016/j.jad.2014.10.054" TargetMode="External"/><Relationship Id="rId14" Type="http://schemas.openxmlformats.org/officeDocument/2006/relationships/hyperlink" Target="https://doi.org/10.1080/01612840.2019.16424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necampbell/Library/Containers/com.microsoft.Word/Data/Library/Application%20Support/Microsoft/Office/16.0/DTS/Search/%7b07048D5F-DF16-954F-BB3E-EFE83ED3C74E%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092259E797C548A4A417A3CCE8EBB7"/>
        <w:category>
          <w:name w:val="General"/>
          <w:gallery w:val="placeholder"/>
        </w:category>
        <w:types>
          <w:type w:val="bbPlcHdr"/>
        </w:types>
        <w:behaviors>
          <w:behavior w:val="content"/>
        </w:behaviors>
        <w:guid w:val="{D416EAEB-BDBF-F04D-A3CA-019FCE122DC3}"/>
      </w:docPartPr>
      <w:docPartBody>
        <w:p w:rsidR="002A4B48" w:rsidRDefault="00204302">
          <w:pPr>
            <w:pStyle w:val="D6092259E797C548A4A417A3CCE8EBB7"/>
          </w:pPr>
          <w:r>
            <w:t>[Title Here, up to 12 Words, on One to Two Lines]</w:t>
          </w:r>
        </w:p>
      </w:docPartBody>
    </w:docPart>
    <w:docPart>
      <w:docPartPr>
        <w:name w:val="DB1B4C5CD9DD6C41B35E91AF3DA39D4C"/>
        <w:category>
          <w:name w:val="General"/>
          <w:gallery w:val="placeholder"/>
        </w:category>
        <w:types>
          <w:type w:val="bbPlcHdr"/>
        </w:types>
        <w:behaviors>
          <w:behavior w:val="content"/>
        </w:behaviors>
        <w:guid w:val="{9BE56E86-D3DB-B844-8A7A-0493BA158740}"/>
      </w:docPartPr>
      <w:docPartBody>
        <w:p w:rsidR="002A4B48" w:rsidRDefault="00204302">
          <w:pPr>
            <w:pStyle w:val="DB1B4C5CD9DD6C41B35E91AF3DA39D4C"/>
          </w:pPr>
          <w:r>
            <w:t>[Title Here, up to 12 Words, on One to Two Lines]</w:t>
          </w:r>
        </w:p>
      </w:docPartBody>
    </w:docPart>
    <w:docPart>
      <w:docPartPr>
        <w:name w:val="1717696EC219BB4882FEDA155EE32329"/>
        <w:category>
          <w:name w:val="General"/>
          <w:gallery w:val="placeholder"/>
        </w:category>
        <w:types>
          <w:type w:val="bbPlcHdr"/>
        </w:types>
        <w:behaviors>
          <w:behavior w:val="content"/>
        </w:behaviors>
        <w:guid w:val="{FABC5A94-F9FB-EE44-AE74-AEE62C8B649C}"/>
      </w:docPartPr>
      <w:docPartBody>
        <w:p w:rsidR="002A4B48" w:rsidRDefault="00204302">
          <w:pPr>
            <w:pStyle w:val="1717696EC219BB4882FEDA155EE32329"/>
          </w:pPr>
          <w:r w:rsidRPr="005D3A03">
            <w:t>Figures title:</w:t>
          </w:r>
        </w:p>
      </w:docPartBody>
    </w:docPart>
    <w:docPart>
      <w:docPartPr>
        <w:name w:val="C875CF03A847BC4A86C570B77E45CABF"/>
        <w:category>
          <w:name w:val="General"/>
          <w:gallery w:val="placeholder"/>
        </w:category>
        <w:types>
          <w:type w:val="bbPlcHdr"/>
        </w:types>
        <w:behaviors>
          <w:behavior w:val="content"/>
        </w:behaviors>
        <w:guid w:val="{FB769C11-FA73-4643-B8A7-88B49B2D67DA}"/>
      </w:docPartPr>
      <w:docPartBody>
        <w:p w:rsidR="002A4B48" w:rsidRDefault="00204302">
          <w:pPr>
            <w:pStyle w:val="C875CF03A847BC4A86C570B77E45CABF"/>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02"/>
    <w:rsid w:val="000139E2"/>
    <w:rsid w:val="000F074A"/>
    <w:rsid w:val="00204302"/>
    <w:rsid w:val="002A4B48"/>
    <w:rsid w:val="00424738"/>
    <w:rsid w:val="00466F8F"/>
    <w:rsid w:val="0048521E"/>
    <w:rsid w:val="005C35F8"/>
    <w:rsid w:val="00646BEB"/>
    <w:rsid w:val="00674FD1"/>
    <w:rsid w:val="007A483D"/>
    <w:rsid w:val="008A4A94"/>
    <w:rsid w:val="00934EDC"/>
    <w:rsid w:val="00937D19"/>
    <w:rsid w:val="00A03505"/>
    <w:rsid w:val="00AA4F7C"/>
    <w:rsid w:val="00AB2F30"/>
    <w:rsid w:val="00BE0526"/>
    <w:rsid w:val="00DD1D83"/>
    <w:rsid w:val="00F244BE"/>
    <w:rsid w:val="00FA265C"/>
    <w:rsid w:val="00FB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092259E797C548A4A417A3CCE8EBB7">
    <w:name w:val="D6092259E797C548A4A417A3CCE8EBB7"/>
  </w:style>
  <w:style w:type="character" w:styleId="Emphasis">
    <w:name w:val="Emphasis"/>
    <w:basedOn w:val="DefaultParagraphFont"/>
    <w:uiPriority w:val="4"/>
    <w:unhideWhenUsed/>
    <w:qFormat/>
    <w:rPr>
      <w:i/>
      <w:iCs/>
    </w:rPr>
  </w:style>
  <w:style w:type="paragraph" w:customStyle="1" w:styleId="DB1B4C5CD9DD6C41B35E91AF3DA39D4C">
    <w:name w:val="DB1B4C5CD9DD6C41B35E91AF3DA39D4C"/>
  </w:style>
  <w:style w:type="paragraph" w:customStyle="1" w:styleId="1717696EC219BB4882FEDA155EE32329">
    <w:name w:val="1717696EC219BB4882FEDA155EE32329"/>
  </w:style>
  <w:style w:type="paragraph" w:customStyle="1" w:styleId="C875CF03A847BC4A86C570B77E45CABF">
    <w:name w:val="C875CF03A847BC4A86C570B77E45CA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764E16-5E43-A749-9EA2-4CE9200DFDF1}">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anxiety and coping style of first-year nursing students </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{07048D5F-DF16-954F-BB3E-EFE83ED3C74E}tf03982351.dotx</Template>
  <TotalTime>2957</TotalTime>
  <Pages>37</Pages>
  <Words>9281</Words>
  <Characters>52907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Anxiety and Coping Styles of First-Year Nursing Students During COVID</vt:lpstr>
    </vt:vector>
  </TitlesOfParts>
  <Company/>
  <LinksUpToDate>false</LinksUpToDate>
  <CharactersWithSpaces>62064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Anxiety and Coping Styles of First-Year Nursing Students During COVID</dc:title>
  <dc:subject/>
  <dc:creator>Microsoft Office User</dc:creator>
  <cp:keywords/>
  <dc:description/>
  <cp:lastModifiedBy>Anne Elizabeth Campbell</cp:lastModifiedBy>
  <cp:revision>129</cp:revision>
  <dcterms:created xsi:type="dcterms:W3CDTF">2020-10-18T19:37:00Z</dcterms:created>
  <dcterms:modified xsi:type="dcterms:W3CDTF">2021-07-11T17:02:00Z</dcterms:modified>
</cp:coreProperties>
</file>