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5FB14D0" w:rsidR="00571048" w:rsidRPr="00571048" w:rsidRDefault="00CB1A83" w:rsidP="00411845">
      <w:pPr>
        <w:spacing w:before="120" w:after="120"/>
        <w:jc w:val="center"/>
        <w:rPr>
          <w:rFonts w:cstheme="minorHAnsi"/>
          <w:sz w:val="36"/>
          <w:szCs w:val="36"/>
        </w:rPr>
      </w:pPr>
      <w:r>
        <w:rPr>
          <w:rFonts w:cstheme="minorHAnsi"/>
          <w:sz w:val="36"/>
          <w:szCs w:val="36"/>
        </w:rPr>
        <w:t>Animal Research High Hazards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2F3780A9"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 xml:space="preserve">Lab-Specific </w:t>
      </w:r>
      <w:r w:rsidR="00CB1A83">
        <w:rPr>
          <w:rFonts w:cstheme="minorHAnsi"/>
          <w:i/>
        </w:rPr>
        <w:t>Safety</w:t>
      </w:r>
      <w:r w:rsidR="00DC7D29">
        <w:rPr>
          <w:rFonts w:cstheme="minorHAnsi"/>
          <w:i/>
        </w:rPr>
        <w:t xml:space="preserv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8A2498" w:rsidRPr="00DC7D29" w14:paraId="29D25CBE" w14:textId="77777777" w:rsidTr="009D1F3E">
        <w:trPr>
          <w:trHeight w:val="432"/>
          <w:tblHeader/>
        </w:trPr>
        <w:tc>
          <w:tcPr>
            <w:tcW w:w="4608" w:type="dxa"/>
            <w:tcBorders>
              <w:top w:val="single" w:sz="4" w:space="0" w:color="auto"/>
              <w:left w:val="single" w:sz="4" w:space="0" w:color="auto"/>
            </w:tcBorders>
            <w:shd w:val="clear" w:color="auto" w:fill="F2F2F2" w:themeFill="background1" w:themeFillShade="F2"/>
            <w:vAlign w:val="center"/>
          </w:tcPr>
          <w:p w14:paraId="32406EFF" w14:textId="77777777" w:rsidR="008A2498" w:rsidRPr="00DC7D29" w:rsidRDefault="008A2498" w:rsidP="00411845">
            <w:pPr>
              <w:spacing w:before="120" w:after="120"/>
              <w:rPr>
                <w:rFonts w:cstheme="minorHAnsi"/>
                <w:b/>
                <w:sz w:val="20"/>
                <w:szCs w:val="20"/>
              </w:rPr>
            </w:pPr>
            <w:r w:rsidRPr="00DC7D29">
              <w:rPr>
                <w:rFonts w:cstheme="minorHAnsi"/>
                <w:b/>
                <w:sz w:val="20"/>
                <w:szCs w:val="20"/>
              </w:rPr>
              <w:t>Department:</w:t>
            </w:r>
          </w:p>
        </w:tc>
        <w:sdt>
          <w:sdtPr>
            <w:rPr>
              <w:rFonts w:cstheme="minorHAnsi"/>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14:paraId="6CEF0CFE"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6643494A" w14:textId="77777777" w:rsidTr="000F5131">
        <w:trPr>
          <w:trHeight w:val="432"/>
        </w:trPr>
        <w:tc>
          <w:tcPr>
            <w:tcW w:w="4608" w:type="dxa"/>
            <w:tcBorders>
              <w:left w:val="single" w:sz="4" w:space="0" w:color="auto"/>
            </w:tcBorders>
            <w:shd w:val="clear" w:color="auto" w:fill="F2F2F2" w:themeFill="background1" w:themeFillShade="F2"/>
            <w:vAlign w:val="center"/>
          </w:tcPr>
          <w:p w14:paraId="063CB13B" w14:textId="77777777" w:rsidR="008A2498" w:rsidRPr="00DC7D29" w:rsidRDefault="008A2498" w:rsidP="00411845">
            <w:pPr>
              <w:spacing w:before="120" w:after="120"/>
              <w:rPr>
                <w:rFonts w:cstheme="minorHAnsi"/>
                <w:b/>
                <w:sz w:val="20"/>
                <w:szCs w:val="20"/>
              </w:rPr>
            </w:pPr>
            <w:r w:rsidRPr="00DC7D29">
              <w:rPr>
                <w:rFonts w:cstheme="minorHAnsi"/>
                <w:b/>
                <w:sz w:val="20"/>
                <w:szCs w:val="20"/>
              </w:rPr>
              <w:t>Date SOP was written:</w:t>
            </w:r>
          </w:p>
        </w:tc>
        <w:sdt>
          <w:sdtPr>
            <w:rPr>
              <w:rFonts w:cstheme="minorHAnsi"/>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6167CD7E"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1E4562A2" w14:textId="77777777" w:rsidTr="000F5131">
        <w:trPr>
          <w:trHeight w:val="432"/>
        </w:trPr>
        <w:tc>
          <w:tcPr>
            <w:tcW w:w="4608" w:type="dxa"/>
            <w:tcBorders>
              <w:left w:val="single" w:sz="4" w:space="0" w:color="auto"/>
            </w:tcBorders>
            <w:shd w:val="clear" w:color="auto" w:fill="F2F2F2" w:themeFill="background1" w:themeFillShade="F2"/>
            <w:vAlign w:val="center"/>
          </w:tcPr>
          <w:p w14:paraId="3E5F9903" w14:textId="77777777" w:rsidR="008A2498" w:rsidRPr="00DC7D29" w:rsidRDefault="000F5131" w:rsidP="00411845">
            <w:pPr>
              <w:spacing w:before="120" w:after="120"/>
              <w:rPr>
                <w:rFonts w:cstheme="minorHAnsi"/>
                <w:b/>
                <w:sz w:val="20"/>
                <w:szCs w:val="20"/>
              </w:rPr>
            </w:pPr>
            <w:r w:rsidRPr="00DC7D29">
              <w:rPr>
                <w:rFonts w:cstheme="minorHAnsi"/>
                <w:b/>
                <w:sz w:val="20"/>
                <w:szCs w:val="20"/>
              </w:rPr>
              <w:t xml:space="preserve">Date </w:t>
            </w:r>
            <w:r w:rsidR="008A2498" w:rsidRPr="00DC7D29">
              <w:rPr>
                <w:rFonts w:cstheme="minorHAnsi"/>
                <w:b/>
                <w:sz w:val="20"/>
                <w:szCs w:val="20"/>
              </w:rPr>
              <w:t xml:space="preserve">SOP </w:t>
            </w:r>
            <w:r w:rsidRPr="00DC7D29">
              <w:rPr>
                <w:rFonts w:cstheme="minorHAnsi"/>
                <w:b/>
                <w:sz w:val="20"/>
                <w:szCs w:val="20"/>
              </w:rPr>
              <w:t xml:space="preserve">was </w:t>
            </w:r>
            <w:r w:rsidR="008A2498" w:rsidRPr="00DC7D29">
              <w:rPr>
                <w:rFonts w:cstheme="minorHAnsi"/>
                <w:b/>
                <w:sz w:val="20"/>
                <w:szCs w:val="20"/>
              </w:rPr>
              <w:t xml:space="preserve">approved by </w:t>
            </w:r>
            <w:r w:rsidRPr="00DC7D29">
              <w:rPr>
                <w:rFonts w:cstheme="minorHAnsi"/>
                <w:b/>
                <w:sz w:val="20"/>
                <w:szCs w:val="20"/>
              </w:rPr>
              <w:t>PI/</w:t>
            </w:r>
            <w:r w:rsidR="008A2498" w:rsidRPr="00DC7D29">
              <w:rPr>
                <w:rFonts w:cstheme="minorHAnsi"/>
                <w:b/>
                <w:sz w:val="20"/>
                <w:szCs w:val="20"/>
              </w:rPr>
              <w:t>lab supervisor:</w:t>
            </w:r>
          </w:p>
        </w:tc>
        <w:sdt>
          <w:sdtPr>
            <w:rPr>
              <w:rFonts w:cstheme="minorHAnsi"/>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747DEEF7"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6712E635" w14:textId="77777777" w:rsidTr="000F5131">
        <w:trPr>
          <w:trHeight w:val="432"/>
        </w:trPr>
        <w:tc>
          <w:tcPr>
            <w:tcW w:w="4608" w:type="dxa"/>
            <w:tcBorders>
              <w:left w:val="single" w:sz="4" w:space="0" w:color="auto"/>
            </w:tcBorders>
            <w:shd w:val="clear" w:color="auto" w:fill="F2F2F2" w:themeFill="background1" w:themeFillShade="F2"/>
            <w:vAlign w:val="center"/>
          </w:tcPr>
          <w:p w14:paraId="66E59FB7" w14:textId="77777777" w:rsidR="008A2498" w:rsidRPr="00DC7D29" w:rsidRDefault="008A2498" w:rsidP="00411845">
            <w:pPr>
              <w:spacing w:before="120" w:after="120"/>
              <w:rPr>
                <w:rFonts w:cstheme="minorHAnsi"/>
                <w:b/>
                <w:sz w:val="20"/>
                <w:szCs w:val="20"/>
              </w:rPr>
            </w:pPr>
            <w:r w:rsidRPr="00DC7D29">
              <w:rPr>
                <w:rFonts w:cstheme="minorHAnsi"/>
                <w:b/>
                <w:sz w:val="20"/>
                <w:szCs w:val="20"/>
              </w:rPr>
              <w:t>Principal Investigator:</w:t>
            </w:r>
          </w:p>
        </w:tc>
        <w:sdt>
          <w:sdtPr>
            <w:rPr>
              <w:rFonts w:cstheme="minorHAnsi"/>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14:paraId="122D1888"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5AA3B08C" w14:textId="77777777" w:rsidTr="000F5131">
        <w:trPr>
          <w:trHeight w:val="432"/>
        </w:trPr>
        <w:tc>
          <w:tcPr>
            <w:tcW w:w="4608" w:type="dxa"/>
            <w:tcBorders>
              <w:left w:val="single" w:sz="4" w:space="0" w:color="auto"/>
            </w:tcBorders>
            <w:shd w:val="clear" w:color="auto" w:fill="F2F2F2" w:themeFill="background1" w:themeFillShade="F2"/>
            <w:vAlign w:val="center"/>
          </w:tcPr>
          <w:p w14:paraId="5B16600F" w14:textId="77777777" w:rsidR="008A2498" w:rsidRPr="00DC7D29" w:rsidRDefault="008A2498" w:rsidP="00411845">
            <w:pPr>
              <w:spacing w:before="120" w:after="120"/>
              <w:rPr>
                <w:rFonts w:cstheme="minorHAnsi"/>
                <w:b/>
                <w:sz w:val="20"/>
                <w:szCs w:val="20"/>
              </w:rPr>
            </w:pPr>
            <w:r w:rsidRPr="00DC7D29">
              <w:rPr>
                <w:rFonts w:cstheme="minorHAnsi"/>
                <w:b/>
                <w:sz w:val="20"/>
                <w:szCs w:val="20"/>
              </w:rPr>
              <w:t>Internal Lab Safety Coordinator/Lab Manager:</w:t>
            </w:r>
          </w:p>
        </w:tc>
        <w:sdt>
          <w:sdtPr>
            <w:rPr>
              <w:rFonts w:cstheme="minorHAnsi"/>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14:paraId="0470135E"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0DF05E87" w14:textId="77777777" w:rsidTr="000F5131">
        <w:trPr>
          <w:trHeight w:val="432"/>
        </w:trPr>
        <w:tc>
          <w:tcPr>
            <w:tcW w:w="4608" w:type="dxa"/>
            <w:tcBorders>
              <w:left w:val="single" w:sz="4" w:space="0" w:color="auto"/>
            </w:tcBorders>
            <w:shd w:val="clear" w:color="auto" w:fill="F2F2F2" w:themeFill="background1" w:themeFillShade="F2"/>
            <w:vAlign w:val="center"/>
          </w:tcPr>
          <w:p w14:paraId="54B8DBED" w14:textId="714AE9A6" w:rsidR="008A2498" w:rsidRPr="00DC7D29" w:rsidRDefault="008A2498" w:rsidP="00411845">
            <w:pPr>
              <w:spacing w:before="120" w:after="120"/>
              <w:rPr>
                <w:rFonts w:cstheme="minorHAnsi"/>
                <w:b/>
                <w:sz w:val="20"/>
                <w:szCs w:val="20"/>
              </w:rPr>
            </w:pPr>
            <w:r w:rsidRPr="00DC7D29">
              <w:rPr>
                <w:rFonts w:cstheme="minorHAnsi"/>
                <w:b/>
                <w:sz w:val="20"/>
                <w:szCs w:val="20"/>
              </w:rPr>
              <w:t>Lab Phone:</w:t>
            </w:r>
            <w:r w:rsidR="00DC7D29" w:rsidRPr="00DC7D29">
              <w:rPr>
                <w:rFonts w:cstheme="minorHAnsi"/>
                <w:noProof/>
              </w:rPr>
              <w:t xml:space="preserve"> </w:t>
            </w:r>
          </w:p>
        </w:tc>
        <w:sdt>
          <w:sdtPr>
            <w:rPr>
              <w:rFonts w:cstheme="minorHAnsi"/>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14:paraId="52D9F09B"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4D5C87B7" w14:textId="77777777" w:rsidTr="000F5131">
        <w:trPr>
          <w:trHeight w:val="432"/>
        </w:trPr>
        <w:tc>
          <w:tcPr>
            <w:tcW w:w="4608" w:type="dxa"/>
            <w:tcBorders>
              <w:left w:val="single" w:sz="4" w:space="0" w:color="auto"/>
            </w:tcBorders>
            <w:shd w:val="clear" w:color="auto" w:fill="F2F2F2" w:themeFill="background1" w:themeFillShade="F2"/>
            <w:vAlign w:val="center"/>
          </w:tcPr>
          <w:p w14:paraId="596709F4" w14:textId="77777777" w:rsidR="008A2498" w:rsidRPr="00DC7D29" w:rsidRDefault="008A2498" w:rsidP="00411845">
            <w:pPr>
              <w:spacing w:before="120" w:after="120"/>
              <w:rPr>
                <w:rFonts w:cstheme="minorHAnsi"/>
                <w:b/>
                <w:sz w:val="20"/>
                <w:szCs w:val="20"/>
              </w:rPr>
            </w:pPr>
            <w:r w:rsidRPr="00DC7D29">
              <w:rPr>
                <w:rFonts w:cstheme="minorHAnsi"/>
                <w:b/>
                <w:sz w:val="20"/>
                <w:szCs w:val="20"/>
              </w:rPr>
              <w:t>Office Phone:</w:t>
            </w:r>
          </w:p>
        </w:tc>
        <w:sdt>
          <w:sdtPr>
            <w:rPr>
              <w:rFonts w:cstheme="minorHAnsi"/>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14:paraId="60F5B639"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C406D4" w:rsidRPr="00DC7D29" w14:paraId="2BEEC67A" w14:textId="77777777" w:rsidTr="000F5131">
        <w:trPr>
          <w:trHeight w:val="432"/>
        </w:trPr>
        <w:tc>
          <w:tcPr>
            <w:tcW w:w="4608" w:type="dxa"/>
            <w:vMerge w:val="restart"/>
            <w:tcBorders>
              <w:left w:val="single" w:sz="4" w:space="0" w:color="auto"/>
            </w:tcBorders>
            <w:shd w:val="clear" w:color="auto" w:fill="F2F2F2" w:themeFill="background1" w:themeFillShade="F2"/>
            <w:vAlign w:val="center"/>
          </w:tcPr>
          <w:p w14:paraId="71CF5D9B" w14:textId="77777777" w:rsidR="00C406D4" w:rsidRPr="00DC7D29" w:rsidRDefault="00C406D4" w:rsidP="00411845">
            <w:pPr>
              <w:spacing w:before="120" w:after="120"/>
              <w:rPr>
                <w:rFonts w:cstheme="minorHAnsi"/>
                <w:b/>
                <w:sz w:val="20"/>
                <w:szCs w:val="20"/>
              </w:rPr>
            </w:pPr>
            <w:r w:rsidRPr="00DC7D29">
              <w:rPr>
                <w:rFonts w:cstheme="minorHAnsi"/>
                <w:b/>
                <w:sz w:val="20"/>
                <w:szCs w:val="20"/>
              </w:rPr>
              <w:t>Emergency Contact:</w:t>
            </w:r>
          </w:p>
        </w:tc>
        <w:sdt>
          <w:sdtPr>
            <w:rPr>
              <w:rFonts w:cstheme="minorHAnsi"/>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14:paraId="3B46F341" w14:textId="77777777" w:rsidR="00C406D4"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C406D4" w:rsidRPr="00DC7D29" w14:paraId="79D9F2FB" w14:textId="77777777" w:rsidTr="000F5131">
        <w:trPr>
          <w:trHeight w:val="144"/>
        </w:trPr>
        <w:tc>
          <w:tcPr>
            <w:tcW w:w="4608" w:type="dxa"/>
            <w:vMerge/>
            <w:tcBorders>
              <w:left w:val="single" w:sz="4" w:space="0" w:color="auto"/>
            </w:tcBorders>
            <w:shd w:val="clear" w:color="auto" w:fill="F2F2F2" w:themeFill="background1" w:themeFillShade="F2"/>
            <w:vAlign w:val="center"/>
          </w:tcPr>
          <w:p w14:paraId="02410333" w14:textId="77777777" w:rsidR="00C406D4" w:rsidRPr="00DC7D29" w:rsidRDefault="00C406D4" w:rsidP="00411845">
            <w:pPr>
              <w:spacing w:before="120" w:after="120"/>
              <w:rPr>
                <w:rFonts w:cstheme="minorHAnsi"/>
                <w:b/>
                <w:i/>
                <w:sz w:val="20"/>
                <w:szCs w:val="20"/>
              </w:rPr>
            </w:pPr>
          </w:p>
        </w:tc>
        <w:tc>
          <w:tcPr>
            <w:tcW w:w="4968" w:type="dxa"/>
            <w:tcBorders>
              <w:right w:val="single" w:sz="4" w:space="0" w:color="auto"/>
            </w:tcBorders>
          </w:tcPr>
          <w:p w14:paraId="13247CF1" w14:textId="77777777" w:rsidR="00C406D4" w:rsidRPr="00DC7D29" w:rsidRDefault="00C406D4" w:rsidP="00411845">
            <w:pPr>
              <w:spacing w:before="120" w:after="120"/>
              <w:jc w:val="center"/>
              <w:rPr>
                <w:rFonts w:cstheme="minorHAnsi"/>
                <w:i/>
                <w:sz w:val="18"/>
                <w:szCs w:val="18"/>
              </w:rPr>
            </w:pPr>
            <w:r w:rsidRPr="00DC7D29">
              <w:rPr>
                <w:rFonts w:cstheme="minorHAnsi"/>
                <w:i/>
                <w:sz w:val="18"/>
                <w:szCs w:val="18"/>
              </w:rPr>
              <w:t>(Name and Phone Number)</w:t>
            </w:r>
          </w:p>
        </w:tc>
      </w:tr>
      <w:tr w:rsidR="00C406D4" w:rsidRPr="00DC7D29" w14:paraId="71AF8C52" w14:textId="77777777" w:rsidTr="000F5131">
        <w:trPr>
          <w:trHeight w:val="422"/>
        </w:trPr>
        <w:tc>
          <w:tcPr>
            <w:tcW w:w="4608" w:type="dxa"/>
            <w:vMerge w:val="restart"/>
            <w:tcBorders>
              <w:left w:val="single" w:sz="4" w:space="0" w:color="auto"/>
            </w:tcBorders>
            <w:shd w:val="clear" w:color="auto" w:fill="F2F2F2" w:themeFill="background1" w:themeFillShade="F2"/>
            <w:vAlign w:val="center"/>
          </w:tcPr>
          <w:p w14:paraId="394B7853" w14:textId="77777777" w:rsidR="00C406D4" w:rsidRPr="00DC7D29" w:rsidRDefault="00C406D4" w:rsidP="00411845">
            <w:pPr>
              <w:spacing w:before="120" w:after="120"/>
              <w:rPr>
                <w:rFonts w:cstheme="minorHAnsi"/>
                <w:b/>
                <w:i/>
                <w:sz w:val="20"/>
                <w:szCs w:val="20"/>
              </w:rPr>
            </w:pPr>
            <w:r w:rsidRPr="00DC7D29">
              <w:rPr>
                <w:rFonts w:cstheme="minorHAnsi"/>
                <w:b/>
                <w:sz w:val="20"/>
                <w:szCs w:val="20"/>
              </w:rPr>
              <w:t>Location(s) covered by this SOP:</w:t>
            </w:r>
          </w:p>
        </w:tc>
        <w:sdt>
          <w:sdtPr>
            <w:rPr>
              <w:rFonts w:cstheme="minorHAnsi"/>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14:paraId="1F53ECC9" w14:textId="77777777" w:rsidR="00C406D4" w:rsidRPr="00DC7D29" w:rsidRDefault="001932B2" w:rsidP="00411845">
                <w:pPr>
                  <w:spacing w:before="120" w:after="120"/>
                  <w:rPr>
                    <w:rFonts w:cstheme="minorHAnsi"/>
                    <w:i/>
                    <w:sz w:val="20"/>
                    <w:szCs w:val="20"/>
                  </w:rPr>
                </w:pPr>
                <w:r w:rsidRPr="00DC7D29">
                  <w:rPr>
                    <w:rStyle w:val="PlaceholderText"/>
                    <w:rFonts w:cstheme="minorHAnsi"/>
                    <w:sz w:val="20"/>
                    <w:szCs w:val="20"/>
                  </w:rPr>
                  <w:t>Click here to enter text.</w:t>
                </w:r>
              </w:p>
            </w:tc>
          </w:sdtContent>
        </w:sdt>
      </w:tr>
      <w:tr w:rsidR="00C406D4" w:rsidRPr="00DC7D29" w14:paraId="3CF90626" w14:textId="77777777" w:rsidTr="000F5131">
        <w:trPr>
          <w:trHeight w:val="70"/>
        </w:trPr>
        <w:tc>
          <w:tcPr>
            <w:tcW w:w="4608" w:type="dxa"/>
            <w:vMerge/>
            <w:tcBorders>
              <w:left w:val="single" w:sz="4" w:space="0" w:color="auto"/>
              <w:bottom w:val="single" w:sz="4" w:space="0" w:color="auto"/>
            </w:tcBorders>
            <w:shd w:val="clear" w:color="auto" w:fill="F2F2F2" w:themeFill="background1" w:themeFillShade="F2"/>
          </w:tcPr>
          <w:p w14:paraId="76A7138E" w14:textId="77777777" w:rsidR="00C406D4" w:rsidRPr="00DC7D29" w:rsidRDefault="00C406D4" w:rsidP="00411845">
            <w:pPr>
              <w:spacing w:before="120" w:after="120"/>
              <w:jc w:val="center"/>
              <w:rPr>
                <w:rFonts w:cstheme="minorHAnsi"/>
                <w:i/>
                <w:sz w:val="18"/>
                <w:szCs w:val="18"/>
              </w:rPr>
            </w:pPr>
          </w:p>
        </w:tc>
        <w:tc>
          <w:tcPr>
            <w:tcW w:w="4968" w:type="dxa"/>
            <w:tcBorders>
              <w:bottom w:val="single" w:sz="4" w:space="0" w:color="auto"/>
              <w:right w:val="single" w:sz="4" w:space="0" w:color="auto"/>
            </w:tcBorders>
          </w:tcPr>
          <w:p w14:paraId="02A632D7" w14:textId="77777777" w:rsidR="00C406D4" w:rsidRPr="00DC7D29" w:rsidRDefault="00C406D4" w:rsidP="00411845">
            <w:pPr>
              <w:spacing w:before="120" w:after="120"/>
              <w:jc w:val="center"/>
              <w:rPr>
                <w:rFonts w:cstheme="minorHAnsi"/>
                <w:i/>
                <w:sz w:val="18"/>
                <w:szCs w:val="18"/>
              </w:rPr>
            </w:pPr>
            <w:r w:rsidRPr="00DC7D29">
              <w:rPr>
                <w:rFonts w:cstheme="minorHAnsi"/>
                <w:i/>
                <w:sz w:val="18"/>
                <w:szCs w:val="18"/>
              </w:rPr>
              <w:t>(Building/Room Number)</w:t>
            </w:r>
          </w:p>
        </w:tc>
      </w:tr>
    </w:tbl>
    <w:p w14:paraId="06C92952" w14:textId="76343E3B" w:rsidR="00411845" w:rsidRDefault="000E228A" w:rsidP="00A06BFA">
      <w:pPr>
        <w:spacing w:before="120" w:after="120" w:line="288" w:lineRule="auto"/>
        <w:rPr>
          <w:rFonts w:cstheme="minorHAnsi"/>
          <w:b/>
          <w:sz w:val="24"/>
          <w:szCs w:val="24"/>
        </w:rPr>
      </w:pPr>
      <w:r>
        <w:rPr>
          <w:rFonts w:cstheme="minorHAnsi"/>
          <w:b/>
          <w:sz w:val="24"/>
          <w:szCs w:val="24"/>
        </w:rPr>
        <w:t>Section 2</w:t>
      </w:r>
      <w:r w:rsidR="00411845">
        <w:rPr>
          <w:rFonts w:cstheme="minorHAnsi"/>
          <w:b/>
          <w:sz w:val="24"/>
          <w:szCs w:val="24"/>
        </w:rPr>
        <w:t xml:space="preserve"> – </w:t>
      </w:r>
      <w:r w:rsidR="00411845" w:rsidRPr="00DC7D29">
        <w:rPr>
          <w:rFonts w:cstheme="minorHAnsi"/>
          <w:b/>
          <w:sz w:val="24"/>
          <w:szCs w:val="24"/>
        </w:rPr>
        <w:t>Type of SOP:</w:t>
      </w:r>
      <w:r w:rsidR="00411845" w:rsidRPr="00DC7D29">
        <w:rPr>
          <w:rFonts w:cstheme="minorHAnsi"/>
          <w:sz w:val="24"/>
          <w:szCs w:val="24"/>
        </w:rPr>
        <w:t xml:space="preserve">       </w:t>
      </w:r>
    </w:p>
    <w:p w14:paraId="60D76163" w14:textId="36A8472C" w:rsidR="00803871" w:rsidRPr="00DC7D29" w:rsidRDefault="00870919" w:rsidP="00A06BFA">
      <w:pPr>
        <w:spacing w:before="120" w:after="120" w:line="288" w:lineRule="auto"/>
        <w:rPr>
          <w:rFonts w:cstheme="minorHAnsi"/>
          <w:sz w:val="20"/>
          <w:szCs w:val="20"/>
        </w:rPr>
      </w:pPr>
      <w:sdt>
        <w:sdtPr>
          <w:rPr>
            <w:rFonts w:cstheme="minorHAnsi"/>
            <w:sz w:val="24"/>
            <w:szCs w:val="24"/>
          </w:rPr>
          <w:id w:val="247546611"/>
          <w14:checkbox>
            <w14:checked w14:val="1"/>
            <w14:checkedState w14:val="2612" w14:font="Times New Roman"/>
            <w14:uncheckedState w14:val="2610" w14:font="Times New Roman"/>
          </w14:checkbox>
        </w:sdtPr>
        <w:sdtEndPr/>
        <w:sdtContent>
          <w:r w:rsidR="00CB1A83">
            <w:rPr>
              <w:rFonts w:ascii="MS Mincho" w:eastAsia="MS Mincho" w:hAnsi="MS Mincho" w:cs="MS Mincho" w:hint="eastAsia"/>
              <w:sz w:val="24"/>
              <w:szCs w:val="24"/>
            </w:rPr>
            <w:t>☒</w:t>
          </w:r>
        </w:sdtContent>
      </w:sdt>
      <w:r w:rsidR="00C406D4" w:rsidRPr="00DC7D29">
        <w:rPr>
          <w:rFonts w:cstheme="minorHAnsi"/>
          <w:sz w:val="24"/>
          <w:szCs w:val="24"/>
        </w:rPr>
        <w:t xml:space="preserve"> Process            </w:t>
      </w:r>
      <w:sdt>
        <w:sdtPr>
          <w:rPr>
            <w:rFonts w:cstheme="minorHAnsi"/>
            <w:sz w:val="24"/>
            <w:szCs w:val="24"/>
          </w:rPr>
          <w:id w:val="-499035568"/>
          <w14:checkbox>
            <w14:checked w14:val="0"/>
            <w14:checkedState w14:val="2612" w14:font="Times New Roman"/>
            <w14:uncheckedState w14:val="2610" w14:font="Times New Roman"/>
          </w14:checkbox>
        </w:sdtPr>
        <w:sdtEndPr/>
        <w:sdtContent>
          <w:r w:rsidR="000513BB">
            <w:rPr>
              <w:rFonts w:ascii="MS Mincho" w:eastAsia="MS Mincho" w:hAnsi="MS Mincho" w:cs="MS Mincho" w:hint="eastAsia"/>
              <w:sz w:val="24"/>
              <w:szCs w:val="24"/>
            </w:rPr>
            <w:t>☐</w:t>
          </w:r>
        </w:sdtContent>
      </w:sdt>
      <w:r w:rsidR="00AF2415" w:rsidRPr="00DC7D29">
        <w:rPr>
          <w:rFonts w:cstheme="minorHAnsi"/>
          <w:sz w:val="24"/>
          <w:szCs w:val="24"/>
        </w:rPr>
        <w:t xml:space="preserve">Hazardous </w:t>
      </w:r>
      <w:r w:rsidR="00C406D4" w:rsidRPr="00DC7D29">
        <w:rPr>
          <w:rFonts w:cstheme="minorHAnsi"/>
          <w:sz w:val="24"/>
          <w:szCs w:val="24"/>
        </w:rPr>
        <w:t xml:space="preserve">Chemical            </w:t>
      </w:r>
      <w:sdt>
        <w:sdtPr>
          <w:rPr>
            <w:rFonts w:cstheme="minorHAnsi"/>
            <w:sz w:val="24"/>
            <w:szCs w:val="24"/>
          </w:rPr>
          <w:id w:val="141396091"/>
          <w14:checkbox>
            <w14:checked w14:val="0"/>
            <w14:checkedState w14:val="2612" w14:font="Times New Roman"/>
            <w14:uncheckedState w14:val="2610" w14:font="Times New Roman"/>
          </w14:checkbox>
        </w:sdtPr>
        <w:sdtEndPr/>
        <w:sdtContent>
          <w:r w:rsidR="00CB1A83">
            <w:rPr>
              <w:rFonts w:ascii="MS Mincho" w:eastAsia="MS Mincho" w:hAnsi="MS Mincho" w:cs="MS Mincho" w:hint="eastAsia"/>
              <w:sz w:val="24"/>
              <w:szCs w:val="24"/>
            </w:rPr>
            <w:t>☐</w:t>
          </w:r>
        </w:sdtContent>
      </w:sdt>
      <w:r w:rsidR="00C406D4" w:rsidRPr="00DC7D29">
        <w:rPr>
          <w:rFonts w:cstheme="minorHAnsi"/>
          <w:sz w:val="24"/>
          <w:szCs w:val="24"/>
        </w:rPr>
        <w:t xml:space="preserve"> Hazardous Class</w:t>
      </w:r>
    </w:p>
    <w:p w14:paraId="41BFFE0A" w14:textId="73A9FB07"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CB1A83">
        <w:rPr>
          <w:rFonts w:cstheme="minorHAnsi"/>
          <w:b/>
          <w:sz w:val="24"/>
          <w:szCs w:val="24"/>
        </w:rPr>
        <w:t>3</w:t>
      </w:r>
      <w:r>
        <w:rPr>
          <w:rFonts w:cstheme="minorHAnsi"/>
          <w:b/>
          <w:sz w:val="24"/>
          <w:szCs w:val="24"/>
        </w:rPr>
        <w:t xml:space="preserve"> –</w:t>
      </w:r>
      <w:r w:rsidR="00D36CEC">
        <w:rPr>
          <w:rFonts w:cstheme="minorHAnsi"/>
          <w:b/>
          <w:sz w:val="24"/>
          <w:szCs w:val="24"/>
        </w:rPr>
        <w:t xml:space="preserve"> Potential Hazards</w:t>
      </w:r>
    </w:p>
    <w:p w14:paraId="0CE80FDF" w14:textId="05E2FAB5" w:rsidR="00444F63" w:rsidRPr="008B0C3A" w:rsidRDefault="00CB1A83" w:rsidP="003F5D18">
      <w:pPr>
        <w:spacing w:after="0" w:line="288" w:lineRule="auto"/>
        <w:rPr>
          <w:rFonts w:eastAsia="Times New Roman" w:cstheme="minorHAnsi"/>
          <w:color w:val="000000"/>
          <w:sz w:val="20"/>
          <w:szCs w:val="20"/>
          <w:shd w:val="clear" w:color="auto" w:fill="FFFFFF"/>
        </w:rPr>
      </w:pPr>
      <w:r w:rsidRPr="00CB1A83">
        <w:rPr>
          <w:rFonts w:cstheme="minorHAnsi"/>
          <w:sz w:val="20"/>
          <w:szCs w:val="20"/>
        </w:rPr>
        <w:t xml:space="preserve">Animal research often involves </w:t>
      </w:r>
      <w:r w:rsidR="00B241B6">
        <w:rPr>
          <w:rFonts w:cstheme="minorHAnsi"/>
          <w:sz w:val="20"/>
          <w:szCs w:val="20"/>
        </w:rPr>
        <w:t>chemical and/or biological</w:t>
      </w:r>
      <w:r w:rsidRPr="00CB1A83">
        <w:rPr>
          <w:rFonts w:cstheme="minorHAnsi"/>
          <w:sz w:val="20"/>
          <w:szCs w:val="20"/>
        </w:rPr>
        <w:t xml:space="preserve"> hazards such as chemotherapy drugs, carcinogenic chemicals, </w:t>
      </w:r>
      <w:proofErr w:type="spellStart"/>
      <w:r w:rsidRPr="00CB1A83">
        <w:rPr>
          <w:rFonts w:cstheme="minorHAnsi"/>
          <w:sz w:val="20"/>
          <w:szCs w:val="20"/>
        </w:rPr>
        <w:t>cytotoxins</w:t>
      </w:r>
      <w:proofErr w:type="spellEnd"/>
      <w:r w:rsidRPr="00CB1A83">
        <w:rPr>
          <w:rFonts w:cstheme="minorHAnsi"/>
          <w:sz w:val="20"/>
          <w:szCs w:val="20"/>
        </w:rPr>
        <w:t xml:space="preserve">, reproductive toxins, and risk group 2 or higher biohazards. Examples of </w:t>
      </w:r>
      <w:r w:rsidR="00B241B6">
        <w:rPr>
          <w:rFonts w:cstheme="minorHAnsi"/>
          <w:sz w:val="20"/>
          <w:szCs w:val="20"/>
        </w:rPr>
        <w:t>hazardous</w:t>
      </w:r>
      <w:r w:rsidRPr="00CB1A83">
        <w:rPr>
          <w:rFonts w:cstheme="minorHAnsi"/>
          <w:sz w:val="20"/>
          <w:szCs w:val="20"/>
        </w:rPr>
        <w:t xml:space="preserve"> agents that are used on campus</w:t>
      </w:r>
      <w:r w:rsidR="00B241B6">
        <w:rPr>
          <w:rFonts w:cstheme="minorHAnsi"/>
          <w:sz w:val="20"/>
          <w:szCs w:val="20"/>
        </w:rPr>
        <w:t xml:space="preserve"> include</w:t>
      </w:r>
      <w:r w:rsidRPr="00CB1A83">
        <w:rPr>
          <w:rFonts w:cstheme="minorHAnsi"/>
          <w:sz w:val="20"/>
          <w:szCs w:val="20"/>
        </w:rPr>
        <w:t xml:space="preserve">: </w:t>
      </w:r>
      <w:proofErr w:type="spellStart"/>
      <w:r w:rsidRPr="00CB1A83">
        <w:rPr>
          <w:rFonts w:cstheme="minorHAnsi"/>
          <w:sz w:val="20"/>
          <w:szCs w:val="20"/>
        </w:rPr>
        <w:t>Tamoxifen</w:t>
      </w:r>
      <w:proofErr w:type="spellEnd"/>
      <w:r w:rsidRPr="00CB1A83">
        <w:rPr>
          <w:rFonts w:cstheme="minorHAnsi"/>
          <w:sz w:val="20"/>
          <w:szCs w:val="20"/>
        </w:rPr>
        <w:t xml:space="preserve">, Carboplatin, </w:t>
      </w:r>
      <w:proofErr w:type="spellStart"/>
      <w:r w:rsidRPr="00CB1A83">
        <w:rPr>
          <w:rFonts w:cstheme="minorHAnsi"/>
          <w:sz w:val="20"/>
          <w:szCs w:val="20"/>
        </w:rPr>
        <w:t>Azoxymethane</w:t>
      </w:r>
      <w:proofErr w:type="spellEnd"/>
      <w:r w:rsidRPr="00CB1A83">
        <w:rPr>
          <w:rFonts w:cstheme="minorHAnsi"/>
          <w:sz w:val="20"/>
          <w:szCs w:val="20"/>
        </w:rPr>
        <w:t xml:space="preserve">, </w:t>
      </w:r>
      <w:proofErr w:type="spellStart"/>
      <w:r w:rsidRPr="00CB1A83">
        <w:rPr>
          <w:rFonts w:cstheme="minorHAnsi"/>
          <w:sz w:val="20"/>
          <w:szCs w:val="20"/>
        </w:rPr>
        <w:t>Zebularine</w:t>
      </w:r>
      <w:proofErr w:type="spellEnd"/>
      <w:r w:rsidRPr="00CB1A83">
        <w:rPr>
          <w:rFonts w:cstheme="minorHAnsi"/>
          <w:sz w:val="20"/>
          <w:szCs w:val="20"/>
        </w:rPr>
        <w:t xml:space="preserve">, </w:t>
      </w:r>
      <w:proofErr w:type="spellStart"/>
      <w:r w:rsidRPr="00CB1A83">
        <w:rPr>
          <w:rFonts w:cstheme="minorHAnsi"/>
          <w:sz w:val="20"/>
          <w:szCs w:val="20"/>
        </w:rPr>
        <w:t>Bromodeoxyuridine</w:t>
      </w:r>
      <w:proofErr w:type="spellEnd"/>
      <w:r w:rsidRPr="00CB1A83">
        <w:rPr>
          <w:rFonts w:cstheme="minorHAnsi"/>
          <w:sz w:val="20"/>
          <w:szCs w:val="20"/>
        </w:rPr>
        <w:t xml:space="preserve"> (</w:t>
      </w:r>
      <w:proofErr w:type="spellStart"/>
      <w:r w:rsidRPr="00CB1A83">
        <w:rPr>
          <w:rFonts w:cstheme="minorHAnsi"/>
          <w:sz w:val="20"/>
          <w:szCs w:val="20"/>
        </w:rPr>
        <w:t>BrDU</w:t>
      </w:r>
      <w:proofErr w:type="spellEnd"/>
      <w:r w:rsidRPr="00CB1A83">
        <w:rPr>
          <w:rFonts w:cstheme="minorHAnsi"/>
          <w:sz w:val="20"/>
          <w:szCs w:val="20"/>
        </w:rPr>
        <w:t xml:space="preserve">), 5-FluoroUracil, </w:t>
      </w:r>
      <w:proofErr w:type="spellStart"/>
      <w:r w:rsidRPr="00CB1A83">
        <w:rPr>
          <w:rFonts w:cstheme="minorHAnsi"/>
          <w:sz w:val="20"/>
          <w:szCs w:val="20"/>
        </w:rPr>
        <w:t>Acrolein</w:t>
      </w:r>
      <w:proofErr w:type="spellEnd"/>
      <w:r w:rsidRPr="00CB1A83">
        <w:rPr>
          <w:rFonts w:cstheme="minorHAnsi"/>
          <w:sz w:val="20"/>
          <w:szCs w:val="20"/>
        </w:rPr>
        <w:t xml:space="preserve">, </w:t>
      </w:r>
      <w:proofErr w:type="spellStart"/>
      <w:r w:rsidRPr="00CB1A83">
        <w:rPr>
          <w:rFonts w:cstheme="minorHAnsi"/>
          <w:sz w:val="20"/>
          <w:szCs w:val="20"/>
        </w:rPr>
        <w:t>Nitrosomethylurea</w:t>
      </w:r>
      <w:proofErr w:type="spellEnd"/>
      <w:r w:rsidRPr="00CB1A83">
        <w:rPr>
          <w:rFonts w:cstheme="minorHAnsi"/>
          <w:sz w:val="20"/>
          <w:szCs w:val="20"/>
        </w:rPr>
        <w:t xml:space="preserve">, Paclitaxel, </w:t>
      </w:r>
      <w:proofErr w:type="spellStart"/>
      <w:r w:rsidRPr="00CB1A83">
        <w:rPr>
          <w:rFonts w:cstheme="minorHAnsi"/>
          <w:sz w:val="20"/>
          <w:szCs w:val="20"/>
        </w:rPr>
        <w:t>Camptothecin</w:t>
      </w:r>
      <w:proofErr w:type="spellEnd"/>
      <w:r w:rsidRPr="00CB1A83">
        <w:rPr>
          <w:rFonts w:cstheme="minorHAnsi"/>
          <w:sz w:val="20"/>
          <w:szCs w:val="20"/>
        </w:rPr>
        <w:t xml:space="preserve">, Vinblastine, E. coli 0157, Staphylococcus </w:t>
      </w:r>
      <w:proofErr w:type="spellStart"/>
      <w:r w:rsidRPr="00CB1A83">
        <w:rPr>
          <w:rFonts w:cstheme="minorHAnsi"/>
          <w:sz w:val="20"/>
          <w:szCs w:val="20"/>
        </w:rPr>
        <w:t>aureus</w:t>
      </w:r>
      <w:proofErr w:type="spellEnd"/>
      <w:r w:rsidRPr="00CB1A83">
        <w:rPr>
          <w:rFonts w:cstheme="minorHAnsi"/>
          <w:sz w:val="20"/>
          <w:szCs w:val="20"/>
        </w:rPr>
        <w:t xml:space="preserve"> (MRSA), Dengue virus, Influenza virus, and Human cell lines.</w:t>
      </w:r>
      <w:r>
        <w:rPr>
          <w:rFonts w:cstheme="minorHAnsi"/>
          <w:sz w:val="20"/>
          <w:szCs w:val="20"/>
        </w:rPr>
        <w:t xml:space="preserve"> </w:t>
      </w:r>
      <w:r w:rsidR="00B241B6">
        <w:rPr>
          <w:rFonts w:cstheme="minorHAnsi"/>
          <w:sz w:val="20"/>
          <w:szCs w:val="20"/>
        </w:rPr>
        <w:t>Many of these agents are h</w:t>
      </w:r>
      <w:r w:rsidR="008B0C3A">
        <w:rPr>
          <w:rFonts w:cstheme="minorHAnsi"/>
          <w:sz w:val="20"/>
          <w:szCs w:val="20"/>
        </w:rPr>
        <w:t xml:space="preserve">ighly toxic by inhalation. </w:t>
      </w:r>
      <w:proofErr w:type="gramStart"/>
      <w:r w:rsidR="008B0C3A">
        <w:rPr>
          <w:rFonts w:cstheme="minorHAnsi"/>
          <w:sz w:val="20"/>
          <w:szCs w:val="20"/>
        </w:rPr>
        <w:t>Highly toxic by ingestion.</w:t>
      </w:r>
      <w:proofErr w:type="gramEnd"/>
      <w:r w:rsidR="008B0C3A">
        <w:rPr>
          <w:rFonts w:cstheme="minorHAnsi"/>
          <w:sz w:val="20"/>
          <w:szCs w:val="20"/>
        </w:rPr>
        <w:t xml:space="preserve"> </w:t>
      </w:r>
      <w:proofErr w:type="gramStart"/>
      <w:r w:rsidR="008B0C3A">
        <w:rPr>
          <w:rFonts w:cstheme="minorHAnsi"/>
          <w:sz w:val="20"/>
          <w:szCs w:val="20"/>
        </w:rPr>
        <w:t>Highly toxic by skin absorption.</w:t>
      </w:r>
      <w:proofErr w:type="gramEnd"/>
      <w:r w:rsidR="008B0C3A">
        <w:rPr>
          <w:rFonts w:cstheme="minorHAnsi"/>
          <w:sz w:val="20"/>
          <w:szCs w:val="20"/>
        </w:rPr>
        <w:t xml:space="preserve"> Many acutely toxic chemicals are also carcinogenic, and may have other hazards such as target organ effect, pose an environmental hazard, and/or </w:t>
      </w:r>
      <w:proofErr w:type="spellStart"/>
      <w:r w:rsidR="008B0C3A">
        <w:rPr>
          <w:rFonts w:cstheme="minorHAnsi"/>
          <w:sz w:val="20"/>
          <w:szCs w:val="20"/>
        </w:rPr>
        <w:t>corrosivity</w:t>
      </w:r>
      <w:proofErr w:type="spellEnd"/>
      <w:r w:rsidR="008B0C3A">
        <w:rPr>
          <w:rFonts w:cstheme="minorHAnsi"/>
          <w:sz w:val="20"/>
          <w:szCs w:val="20"/>
        </w:rPr>
        <w:t>, etc.</w:t>
      </w:r>
      <w:r w:rsidR="008B0C3A">
        <w:rPr>
          <w:rFonts w:eastAsia="Times New Roman" w:cstheme="minorHAnsi"/>
          <w:color w:val="000000"/>
          <w:sz w:val="20"/>
          <w:szCs w:val="20"/>
          <w:shd w:val="clear" w:color="auto" w:fill="FFFFFF"/>
        </w:rPr>
        <w:t xml:space="preserve"> </w:t>
      </w:r>
      <w:r w:rsidR="003F5D18">
        <w:rPr>
          <w:rFonts w:eastAsia="Times New Roman" w:cstheme="minorHAnsi"/>
          <w:color w:val="000000"/>
          <w:sz w:val="20"/>
          <w:szCs w:val="20"/>
          <w:shd w:val="clear" w:color="auto" w:fill="FFFFFF"/>
        </w:rPr>
        <w:t xml:space="preserve">Make sure that all of the </w:t>
      </w:r>
      <w:r w:rsidR="00D65F7F">
        <w:rPr>
          <w:rFonts w:eastAsia="Times New Roman" w:cstheme="minorHAnsi"/>
          <w:color w:val="000000"/>
          <w:sz w:val="20"/>
          <w:szCs w:val="20"/>
          <w:shd w:val="clear" w:color="auto" w:fill="FFFFFF"/>
        </w:rPr>
        <w:t xml:space="preserve">potential </w:t>
      </w:r>
      <w:r w:rsidR="003F5D18">
        <w:rPr>
          <w:rFonts w:eastAsia="Times New Roman" w:cstheme="minorHAnsi"/>
          <w:color w:val="000000"/>
          <w:sz w:val="20"/>
          <w:szCs w:val="20"/>
          <w:shd w:val="clear" w:color="auto" w:fill="FFFFFF"/>
        </w:rPr>
        <w:t xml:space="preserve">hazards are understood before handling any chemical. </w:t>
      </w:r>
    </w:p>
    <w:p w14:paraId="2DDC9CA7" w14:textId="0F30B2CA" w:rsidR="00452BD7" w:rsidRDefault="0005617D" w:rsidP="00A06BFA">
      <w:pPr>
        <w:spacing w:before="120" w:after="120" w:line="288" w:lineRule="auto"/>
        <w:rPr>
          <w:rFonts w:cstheme="minorHAnsi"/>
          <w:b/>
          <w:sz w:val="24"/>
          <w:szCs w:val="24"/>
        </w:rPr>
      </w:pPr>
      <w:r w:rsidRPr="00D22556">
        <w:rPr>
          <w:rFonts w:cstheme="minorHAnsi"/>
          <w:b/>
          <w:noProof/>
        </w:rPr>
        <w:lastRenderedPageBreak/>
        <w:drawing>
          <wp:inline distT="0" distB="0" distL="0" distR="0" wp14:anchorId="664A7F69" wp14:editId="5306C2F3">
            <wp:extent cx="599846" cy="622224"/>
            <wp:effectExtent l="0" t="0" r="0" b="6985"/>
            <wp:docPr id="4" name="Picture 4"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59" cy="624105"/>
                    </a:xfrm>
                    <a:prstGeom prst="rect">
                      <a:avLst/>
                    </a:prstGeom>
                    <a:noFill/>
                    <a:ln>
                      <a:noFill/>
                    </a:ln>
                  </pic:spPr>
                </pic:pic>
              </a:graphicData>
            </a:graphic>
          </wp:inline>
        </w:drawing>
      </w:r>
      <w:r>
        <w:rPr>
          <w:rFonts w:cstheme="minorHAnsi"/>
          <w:b/>
          <w:noProof/>
          <w:sz w:val="24"/>
          <w:szCs w:val="24"/>
        </w:rPr>
        <w:drawing>
          <wp:inline distT="0" distB="0" distL="0" distR="0" wp14:anchorId="4A4334A1" wp14:editId="0F46F256">
            <wp:extent cx="577850" cy="597204"/>
            <wp:effectExtent l="0" t="0" r="0" b="0"/>
            <wp:docPr id="3" name="Picture 3"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597204"/>
                    </a:xfrm>
                    <a:prstGeom prst="rect">
                      <a:avLst/>
                    </a:prstGeom>
                    <a:noFill/>
                    <a:ln>
                      <a:noFill/>
                    </a:ln>
                  </pic:spPr>
                </pic:pic>
              </a:graphicData>
            </a:graphic>
          </wp:inline>
        </w:drawing>
      </w:r>
      <w:r>
        <w:rPr>
          <w:rFonts w:cstheme="minorHAnsi"/>
          <w:b/>
          <w:noProof/>
          <w:sz w:val="24"/>
          <w:szCs w:val="24"/>
        </w:rPr>
        <w:drawing>
          <wp:inline distT="0" distB="0" distL="0" distR="0" wp14:anchorId="60B5B0C4" wp14:editId="354B2EC6">
            <wp:extent cx="575098" cy="594360"/>
            <wp:effectExtent l="0" t="0" r="0" b="0"/>
            <wp:docPr id="2" name="Picture 2" descr="GHS Environmentally Damaging Hazard Pictogram" title="GHS Environmentally Damaging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098" cy="594360"/>
                    </a:xfrm>
                    <a:prstGeom prst="rect">
                      <a:avLst/>
                    </a:prstGeom>
                    <a:noFill/>
                    <a:ln>
                      <a:noFill/>
                    </a:ln>
                  </pic:spPr>
                </pic:pic>
              </a:graphicData>
            </a:graphic>
          </wp:inline>
        </w:drawing>
      </w:r>
      <w:r w:rsidR="003828D1" w:rsidRPr="003828D1">
        <w:rPr>
          <w:rFonts w:ascii="Arial" w:hAnsi="Arial" w:cs="Arial"/>
          <w:noProof/>
          <w:color w:val="000000"/>
        </w:rPr>
        <w:t xml:space="preserve"> </w:t>
      </w:r>
      <w:r w:rsidR="003828D1">
        <w:rPr>
          <w:rFonts w:ascii="Arial" w:hAnsi="Arial" w:cs="Arial"/>
          <w:noProof/>
          <w:color w:val="000000"/>
        </w:rPr>
        <w:drawing>
          <wp:inline distT="0" distB="0" distL="0" distR="0" wp14:anchorId="1DA9832F" wp14:editId="54614C3A">
            <wp:extent cx="457200" cy="685800"/>
            <wp:effectExtent l="19050" t="19050" r="19050" b="19050"/>
            <wp:docPr id="1" name="Picture 1" descr="Biohazar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hazard Lab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solidFill>
                        <a:schemeClr val="tx1"/>
                      </a:solidFill>
                    </a:ln>
                  </pic:spPr>
                </pic:pic>
              </a:graphicData>
            </a:graphic>
          </wp:inline>
        </w:drawing>
      </w:r>
    </w:p>
    <w:p w14:paraId="6DBB996E" w14:textId="46276413" w:rsidR="00B241B6" w:rsidRPr="00DC7D29" w:rsidRDefault="00B241B6" w:rsidP="00B241B6">
      <w:pPr>
        <w:spacing w:before="120" w:after="120" w:line="288" w:lineRule="auto"/>
        <w:rPr>
          <w:rFonts w:cstheme="minorHAnsi"/>
          <w:b/>
          <w:sz w:val="24"/>
          <w:szCs w:val="24"/>
        </w:rPr>
      </w:pPr>
      <w:r>
        <w:rPr>
          <w:rFonts w:cstheme="minorHAnsi"/>
          <w:b/>
          <w:sz w:val="24"/>
          <w:szCs w:val="24"/>
        </w:rPr>
        <w:t xml:space="preserve">Section </w:t>
      </w:r>
      <w:r>
        <w:rPr>
          <w:rFonts w:cstheme="minorHAnsi"/>
          <w:b/>
          <w:sz w:val="24"/>
          <w:szCs w:val="24"/>
        </w:rPr>
        <w:t>4</w:t>
      </w:r>
      <w:r>
        <w:rPr>
          <w:rFonts w:cstheme="minorHAnsi"/>
          <w:b/>
          <w:sz w:val="24"/>
          <w:szCs w:val="24"/>
        </w:rPr>
        <w:t xml:space="preserve"> – </w:t>
      </w:r>
      <w:r>
        <w:rPr>
          <w:rFonts w:cstheme="minorHAnsi"/>
          <w:b/>
          <w:sz w:val="24"/>
          <w:szCs w:val="24"/>
        </w:rPr>
        <w:t>Agent Awareness</w:t>
      </w:r>
    </w:p>
    <w:p w14:paraId="2523975C" w14:textId="77777777" w:rsidR="00B241B6" w:rsidRPr="00870919" w:rsidRDefault="00B241B6" w:rsidP="00870919">
      <w:pPr>
        <w:pStyle w:val="ListParagraph"/>
        <w:numPr>
          <w:ilvl w:val="0"/>
          <w:numId w:val="29"/>
        </w:numPr>
        <w:autoSpaceDE w:val="0"/>
        <w:autoSpaceDN w:val="0"/>
        <w:adjustRightInd w:val="0"/>
        <w:spacing w:before="120" w:after="120" w:line="288" w:lineRule="auto"/>
        <w:rPr>
          <w:rFonts w:cstheme="minorHAnsi"/>
          <w:sz w:val="20"/>
          <w:szCs w:val="20"/>
          <w:lang w:val="en"/>
        </w:rPr>
      </w:pPr>
      <w:r w:rsidRPr="00870919">
        <w:rPr>
          <w:rFonts w:cstheme="minorHAnsi"/>
          <w:sz w:val="20"/>
          <w:szCs w:val="20"/>
          <w:lang w:val="en"/>
        </w:rPr>
        <w:t>Train research staff and animal care staff to recognize and understand the risks of working with hazardous agents and the risks of working in an environment where these materials have been prepared and/or administered.</w:t>
      </w:r>
    </w:p>
    <w:p w14:paraId="61727A83" w14:textId="77777777" w:rsidR="00B241B6" w:rsidRPr="00870919" w:rsidRDefault="00B241B6" w:rsidP="00870919">
      <w:pPr>
        <w:pStyle w:val="ListParagraph"/>
        <w:numPr>
          <w:ilvl w:val="0"/>
          <w:numId w:val="29"/>
        </w:numPr>
        <w:autoSpaceDE w:val="0"/>
        <w:autoSpaceDN w:val="0"/>
        <w:adjustRightInd w:val="0"/>
        <w:spacing w:before="120" w:after="120" w:line="288" w:lineRule="auto"/>
        <w:rPr>
          <w:rFonts w:cstheme="minorHAnsi"/>
          <w:sz w:val="20"/>
          <w:szCs w:val="20"/>
          <w:lang w:val="en"/>
        </w:rPr>
      </w:pPr>
      <w:r w:rsidRPr="00870919">
        <w:rPr>
          <w:rFonts w:cstheme="minorHAnsi"/>
          <w:sz w:val="20"/>
          <w:szCs w:val="20"/>
          <w:lang w:val="en"/>
        </w:rPr>
        <w:t xml:space="preserve">Review Safety Data Sheets or agent risk assessment with all staff that will be exposed either through direct handling or proximity.  Signs and symptoms, exposure and transmission routes, personal protective equipment, decontamination, and accident/exposure information must be covered. </w:t>
      </w:r>
    </w:p>
    <w:p w14:paraId="7FD2E879" w14:textId="77777777" w:rsidR="00B241B6" w:rsidRPr="00870919" w:rsidRDefault="00B241B6" w:rsidP="00870919">
      <w:pPr>
        <w:pStyle w:val="ListParagraph"/>
        <w:numPr>
          <w:ilvl w:val="0"/>
          <w:numId w:val="29"/>
        </w:numPr>
        <w:autoSpaceDE w:val="0"/>
        <w:autoSpaceDN w:val="0"/>
        <w:adjustRightInd w:val="0"/>
        <w:spacing w:before="120" w:after="120" w:line="288" w:lineRule="auto"/>
        <w:rPr>
          <w:rFonts w:cstheme="minorHAnsi"/>
          <w:sz w:val="20"/>
          <w:szCs w:val="20"/>
          <w:lang w:val="en"/>
        </w:rPr>
      </w:pPr>
      <w:r w:rsidRPr="00870919">
        <w:rPr>
          <w:rFonts w:cstheme="minorHAnsi"/>
          <w:sz w:val="20"/>
          <w:szCs w:val="20"/>
          <w:lang w:val="en"/>
        </w:rPr>
        <w:t>All laboratory personnel and particularly women of childbearing age, those</w:t>
      </w:r>
      <w:r w:rsidRPr="00870919">
        <w:rPr>
          <w:sz w:val="20"/>
          <w:szCs w:val="20"/>
        </w:rPr>
        <w:t xml:space="preserve"> </w:t>
      </w:r>
      <w:r w:rsidRPr="00870919">
        <w:rPr>
          <w:rFonts w:cstheme="minorHAnsi"/>
          <w:sz w:val="20"/>
          <w:szCs w:val="20"/>
          <w:lang w:val="en"/>
        </w:rPr>
        <w:t>who are pregnant, or breastfeeding should be provided with information regarding immune competence and conditions that may predispose them to chemical hazards or infection. Individuals having these conditions should be encouraged to self-identify to the University occupational health provider for appropriate counseling and guidance.</w:t>
      </w:r>
    </w:p>
    <w:p w14:paraId="592D77F2" w14:textId="77777777" w:rsidR="00B241B6" w:rsidRPr="00870919" w:rsidRDefault="00B241B6" w:rsidP="00870919">
      <w:pPr>
        <w:pStyle w:val="ListParagraph"/>
        <w:numPr>
          <w:ilvl w:val="0"/>
          <w:numId w:val="29"/>
        </w:numPr>
        <w:autoSpaceDE w:val="0"/>
        <w:autoSpaceDN w:val="0"/>
        <w:adjustRightInd w:val="0"/>
        <w:spacing w:before="120" w:after="120" w:line="288" w:lineRule="auto"/>
        <w:rPr>
          <w:rFonts w:cstheme="minorHAnsi"/>
          <w:sz w:val="20"/>
          <w:szCs w:val="20"/>
          <w:lang w:val="en"/>
        </w:rPr>
      </w:pPr>
      <w:r w:rsidRPr="00870919">
        <w:rPr>
          <w:rFonts w:cstheme="minorHAnsi"/>
          <w:sz w:val="20"/>
          <w:szCs w:val="20"/>
          <w:lang w:val="en"/>
        </w:rPr>
        <w:t>All persons entering the laboratory must be advised of the potential hazards and meet specific personal protection requirements.</w:t>
      </w:r>
    </w:p>
    <w:p w14:paraId="4DB798D1" w14:textId="4137D947"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B241B6">
        <w:rPr>
          <w:rFonts w:cstheme="minorHAnsi"/>
          <w:b/>
          <w:sz w:val="24"/>
          <w:szCs w:val="24"/>
        </w:rPr>
        <w:t>5</w:t>
      </w:r>
      <w:r>
        <w:rPr>
          <w:rFonts w:cstheme="minorHAnsi"/>
          <w:b/>
          <w:sz w:val="24"/>
          <w:szCs w:val="24"/>
        </w:rPr>
        <w:t xml:space="preserve"> – </w:t>
      </w:r>
      <w:r w:rsidR="00C406D4" w:rsidRPr="00DC7D29">
        <w:rPr>
          <w:rFonts w:cstheme="minorHAnsi"/>
          <w:b/>
          <w:sz w:val="24"/>
          <w:szCs w:val="24"/>
        </w:rPr>
        <w:t>Personal Protective Equipment (PPE)</w:t>
      </w:r>
    </w:p>
    <w:p w14:paraId="0F378F03" w14:textId="77777777" w:rsidR="003828D1" w:rsidRPr="00870919" w:rsidRDefault="003828D1" w:rsidP="00870919">
      <w:pPr>
        <w:pStyle w:val="ListParagraph"/>
        <w:numPr>
          <w:ilvl w:val="0"/>
          <w:numId w:val="28"/>
        </w:numPr>
        <w:spacing w:before="120" w:after="120" w:line="288" w:lineRule="auto"/>
        <w:rPr>
          <w:rFonts w:eastAsia="Times New Roman" w:cstheme="minorHAnsi"/>
          <w:bCs/>
          <w:color w:val="000000"/>
          <w:sz w:val="20"/>
          <w:szCs w:val="20"/>
          <w:shd w:val="clear" w:color="auto" w:fill="FFFFFF"/>
        </w:rPr>
      </w:pPr>
      <w:r w:rsidRPr="00870919">
        <w:rPr>
          <w:rFonts w:eastAsia="Times New Roman" w:cstheme="minorHAnsi"/>
          <w:bCs/>
          <w:color w:val="000000"/>
          <w:sz w:val="20"/>
          <w:szCs w:val="20"/>
          <w:shd w:val="clear" w:color="auto" w:fill="FFFFFF"/>
        </w:rPr>
        <w:t>At a minimum, gloves, outerwear (single use when directly handling high hazards), eye protection, and respiratory protection (a fit tested N-95 mask, higher level respiratory protective devices may be recommended depending of the protocol risk assessment).</w:t>
      </w:r>
    </w:p>
    <w:p w14:paraId="617611EC" w14:textId="77777777" w:rsidR="003828D1" w:rsidRPr="00870919" w:rsidRDefault="003828D1" w:rsidP="00870919">
      <w:pPr>
        <w:pStyle w:val="ListParagraph"/>
        <w:numPr>
          <w:ilvl w:val="0"/>
          <w:numId w:val="28"/>
        </w:numPr>
        <w:spacing w:before="120" w:after="120" w:line="288" w:lineRule="auto"/>
        <w:rPr>
          <w:rFonts w:eastAsia="Times New Roman" w:cstheme="minorHAnsi"/>
          <w:bCs/>
          <w:color w:val="000000"/>
          <w:sz w:val="20"/>
          <w:szCs w:val="20"/>
          <w:shd w:val="clear" w:color="auto" w:fill="FFFFFF"/>
        </w:rPr>
      </w:pPr>
      <w:r w:rsidRPr="00870919">
        <w:rPr>
          <w:rFonts w:eastAsia="Times New Roman" w:cstheme="minorHAnsi"/>
          <w:bCs/>
          <w:color w:val="000000"/>
          <w:sz w:val="20"/>
          <w:szCs w:val="20"/>
          <w:shd w:val="clear" w:color="auto" w:fill="FFFFFF"/>
        </w:rPr>
        <w:t xml:space="preserve">Personnel must receive annual updates or additional training for any new hazards added or other lab changes that occur. </w:t>
      </w:r>
    </w:p>
    <w:p w14:paraId="099A6E8B" w14:textId="77777777" w:rsidR="003828D1" w:rsidRPr="00870919" w:rsidRDefault="003828D1" w:rsidP="00870919">
      <w:pPr>
        <w:pStyle w:val="ListParagraph"/>
        <w:numPr>
          <w:ilvl w:val="0"/>
          <w:numId w:val="28"/>
        </w:numPr>
        <w:spacing w:before="120" w:after="120" w:line="288" w:lineRule="auto"/>
        <w:rPr>
          <w:rFonts w:eastAsia="Times New Roman" w:cstheme="minorHAnsi"/>
          <w:bCs/>
          <w:color w:val="000000"/>
          <w:sz w:val="20"/>
          <w:szCs w:val="20"/>
          <w:shd w:val="clear" w:color="auto" w:fill="FFFFFF"/>
        </w:rPr>
      </w:pPr>
      <w:r w:rsidRPr="00870919">
        <w:rPr>
          <w:rFonts w:eastAsia="Times New Roman" w:cstheme="minorHAnsi"/>
          <w:bCs/>
          <w:color w:val="000000"/>
          <w:sz w:val="20"/>
          <w:szCs w:val="20"/>
          <w:shd w:val="clear" w:color="auto" w:fill="FFFFFF"/>
        </w:rPr>
        <w:t>Protective laboratory coats, gowns, smocks, or uniforms designated for laboratory use must be worn while working with hazardous materials. Remove protective clothing before leaving for non-laboratory areas. Do not take laboratory clothing home for washing.</w:t>
      </w:r>
    </w:p>
    <w:p w14:paraId="048F7BE1" w14:textId="77777777" w:rsidR="003828D1" w:rsidRPr="00870919" w:rsidRDefault="003828D1" w:rsidP="00870919">
      <w:pPr>
        <w:pStyle w:val="ListParagraph"/>
        <w:numPr>
          <w:ilvl w:val="0"/>
          <w:numId w:val="28"/>
        </w:numPr>
        <w:spacing w:before="120" w:after="120" w:line="288" w:lineRule="auto"/>
        <w:rPr>
          <w:rFonts w:eastAsia="Times New Roman" w:cstheme="minorHAnsi"/>
          <w:bCs/>
          <w:color w:val="000000"/>
          <w:sz w:val="20"/>
          <w:szCs w:val="20"/>
          <w:shd w:val="clear" w:color="auto" w:fill="FFFFFF"/>
        </w:rPr>
      </w:pPr>
      <w:r w:rsidRPr="00870919">
        <w:rPr>
          <w:rFonts w:eastAsia="Times New Roman" w:cstheme="minorHAnsi"/>
          <w:bCs/>
          <w:color w:val="000000"/>
          <w:sz w:val="20"/>
          <w:szCs w:val="20"/>
          <w:shd w:val="clear" w:color="auto" w:fill="FFFFFF"/>
        </w:rPr>
        <w:t>Eye and face protection (goggles, face shield or other splatter guard) is used for anticipated splashes or sprays of infectious or chemical hazards. Persons who wear contact lenses in laboratories must also wear eye protection.</w:t>
      </w:r>
    </w:p>
    <w:p w14:paraId="1C48A164" w14:textId="6B279DB0" w:rsidR="003828D1" w:rsidRPr="003828D1" w:rsidRDefault="003828D1" w:rsidP="00870919">
      <w:pPr>
        <w:pStyle w:val="NoSpacing"/>
        <w:numPr>
          <w:ilvl w:val="0"/>
          <w:numId w:val="28"/>
        </w:numPr>
        <w:spacing w:before="120" w:after="120" w:line="288" w:lineRule="auto"/>
        <w:rPr>
          <w:rFonts w:eastAsia="Times New Roman" w:cstheme="minorHAnsi"/>
          <w:bCs/>
          <w:color w:val="000000"/>
          <w:sz w:val="20"/>
          <w:szCs w:val="20"/>
          <w:shd w:val="clear" w:color="auto" w:fill="FFFFFF"/>
        </w:rPr>
      </w:pPr>
      <w:r w:rsidRPr="003828D1">
        <w:rPr>
          <w:rFonts w:cstheme="minorHAnsi"/>
          <w:sz w:val="20"/>
          <w:szCs w:val="20"/>
        </w:rPr>
        <w:t xml:space="preserve">Latex exam gloves, synthetic rubber, nitrile, vinyl, or neoprene also provide acceptable barrier protection against biological hazards.  Nitrile glove are preferred as they protect against bio-agents, chemical exposure, and reduce the potential for allergic reaction.  </w:t>
      </w:r>
      <w:r w:rsidRPr="00B241B6">
        <w:rPr>
          <w:rFonts w:eastAsia="Times New Roman" w:cstheme="minorHAnsi"/>
          <w:bCs/>
          <w:color w:val="000000"/>
          <w:sz w:val="20"/>
          <w:szCs w:val="20"/>
          <w:shd w:val="clear" w:color="auto" w:fill="FFFFFF"/>
        </w:rPr>
        <w:t xml:space="preserve">Change gloves when contaminated or if glove integrity is compromised. Remove gloves and wash hands when work with hazardous materials has been completed and before leaving the laboratory. Do not wash or reuse disposable gloves. Dispose used gloves with other contaminated laboratory waste. </w:t>
      </w:r>
      <w:r w:rsidRPr="003828D1">
        <w:rPr>
          <w:rFonts w:eastAsia="Times New Roman" w:cstheme="minorHAnsi"/>
          <w:bCs/>
          <w:color w:val="000000"/>
          <w:sz w:val="20"/>
          <w:szCs w:val="20"/>
          <w:shd w:val="clear" w:color="auto" w:fill="FFFFFF"/>
        </w:rPr>
        <w:t>Gloves must not be worn outside the laboratory.</w:t>
      </w:r>
    </w:p>
    <w:p w14:paraId="41127AA5" w14:textId="3B55CC41"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6 – </w:t>
      </w:r>
      <w:r w:rsidR="00C406D4" w:rsidRPr="00DC7D29">
        <w:rPr>
          <w:rFonts w:cstheme="minorHAnsi"/>
          <w:b/>
          <w:sz w:val="24"/>
          <w:szCs w:val="24"/>
        </w:rPr>
        <w:t>Engineering Controls</w:t>
      </w:r>
    </w:p>
    <w:p w14:paraId="7E960645" w14:textId="77777777" w:rsidR="00B241B6" w:rsidRPr="00B241B6" w:rsidRDefault="00B241B6" w:rsidP="00B241B6">
      <w:pPr>
        <w:spacing w:before="120" w:after="120" w:line="288" w:lineRule="auto"/>
        <w:rPr>
          <w:rFonts w:cstheme="minorHAnsi"/>
          <w:sz w:val="20"/>
          <w:szCs w:val="20"/>
        </w:rPr>
      </w:pPr>
      <w:r w:rsidRPr="00B241B6">
        <w:rPr>
          <w:rFonts w:cstheme="minorHAnsi"/>
          <w:sz w:val="20"/>
          <w:szCs w:val="20"/>
        </w:rPr>
        <w:t xml:space="preserve">Utilize the minimum PPE listed above and containment devices such as chemical fume hood, biosafety cabinet, cage transfer station, and/or cage dump station must be used when handling high hazard materials.  This includes mixing/administering high hazard agents to research animals, handling exposed animals, and animal bedding exposed to these agents.  </w:t>
      </w:r>
    </w:p>
    <w:p w14:paraId="5C7B7742" w14:textId="77777777" w:rsidR="00B241B6" w:rsidRPr="00B241B6" w:rsidRDefault="00B241B6" w:rsidP="00B241B6">
      <w:pPr>
        <w:spacing w:before="120" w:after="120" w:line="288" w:lineRule="auto"/>
        <w:rPr>
          <w:rFonts w:cstheme="minorHAnsi"/>
          <w:b/>
          <w:sz w:val="20"/>
          <w:szCs w:val="20"/>
        </w:rPr>
      </w:pPr>
      <w:r w:rsidRPr="00B241B6">
        <w:rPr>
          <w:rFonts w:cstheme="minorHAnsi"/>
          <w:sz w:val="20"/>
          <w:szCs w:val="20"/>
        </w:rPr>
        <w:lastRenderedPageBreak/>
        <w:t>HEPA filtered ventilated cage racks should be used for animal studies involving infectious or high hazard materials.</w:t>
      </w:r>
      <w:r w:rsidRPr="00B241B6">
        <w:rPr>
          <w:rFonts w:cstheme="minorHAnsi"/>
          <w:b/>
          <w:sz w:val="20"/>
          <w:szCs w:val="20"/>
        </w:rPr>
        <w:t xml:space="preserve"> </w:t>
      </w:r>
    </w:p>
    <w:p w14:paraId="283B9563" w14:textId="14B43C4A" w:rsidR="008852B2" w:rsidRPr="00DC7D29" w:rsidRDefault="008852B2" w:rsidP="008852B2">
      <w:pPr>
        <w:spacing w:before="120" w:after="120" w:line="288" w:lineRule="auto"/>
        <w:rPr>
          <w:rFonts w:cstheme="minorHAnsi"/>
          <w:b/>
          <w:sz w:val="24"/>
          <w:szCs w:val="24"/>
        </w:rPr>
      </w:pPr>
      <w:r>
        <w:rPr>
          <w:rFonts w:cstheme="minorHAnsi"/>
          <w:b/>
          <w:sz w:val="24"/>
          <w:szCs w:val="24"/>
        </w:rPr>
        <w:t xml:space="preserve">Section 7 – </w:t>
      </w:r>
      <w:r>
        <w:rPr>
          <w:rFonts w:cstheme="minorHAnsi"/>
          <w:b/>
          <w:sz w:val="24"/>
          <w:szCs w:val="24"/>
        </w:rPr>
        <w:t>General Safe Lab Practices</w:t>
      </w:r>
    </w:p>
    <w:p w14:paraId="7F361B02" w14:textId="77777777" w:rsidR="008852B2" w:rsidRPr="00870919" w:rsidRDefault="008852B2" w:rsidP="00870919">
      <w:pPr>
        <w:pStyle w:val="ListParagraph"/>
        <w:numPr>
          <w:ilvl w:val="0"/>
          <w:numId w:val="30"/>
        </w:numPr>
        <w:spacing w:before="120" w:after="120" w:line="288" w:lineRule="auto"/>
        <w:rPr>
          <w:sz w:val="20"/>
          <w:szCs w:val="20"/>
        </w:rPr>
      </w:pPr>
      <w:r w:rsidRPr="00870919">
        <w:rPr>
          <w:rFonts w:cstheme="minorHAnsi"/>
          <w:sz w:val="20"/>
          <w:szCs w:val="20"/>
        </w:rPr>
        <w:t>All personnel participating in this project must be knowledgeable and have been trained in the required laboratory techniques, personal protective equipment, decontamination, security, and are familiar with hazard containment policies and procedures.</w:t>
      </w:r>
      <w:r w:rsidRPr="00870919">
        <w:rPr>
          <w:sz w:val="20"/>
          <w:szCs w:val="20"/>
        </w:rPr>
        <w:t xml:space="preserve"> Document and retain evidence that workers have been trained in and understand these procedures.</w:t>
      </w:r>
    </w:p>
    <w:p w14:paraId="6215FB6E" w14:textId="77777777" w:rsidR="008852B2" w:rsidRPr="00870919" w:rsidRDefault="008852B2" w:rsidP="00870919">
      <w:pPr>
        <w:pStyle w:val="ListParagraph"/>
        <w:numPr>
          <w:ilvl w:val="0"/>
          <w:numId w:val="30"/>
        </w:numPr>
        <w:spacing w:before="120" w:after="120" w:line="288" w:lineRule="auto"/>
        <w:rPr>
          <w:sz w:val="20"/>
          <w:szCs w:val="20"/>
        </w:rPr>
      </w:pPr>
      <w:r w:rsidRPr="00870919">
        <w:rPr>
          <w:rFonts w:cstheme="minorHAnsi"/>
          <w:sz w:val="20"/>
          <w:szCs w:val="20"/>
        </w:rPr>
        <w:t>Research lab staff must communicate with animal care staff prior to initiating any high hazard applications.  Post signage to warn employees that they are working in an environment where hazardous agents are handled.</w:t>
      </w:r>
    </w:p>
    <w:p w14:paraId="526159E0"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Access to the laboratory is restricted when work is being conducted and all procedures in which infectious aerosols or splashes may be created are conducted in a biosafety cabinet, cage transfer station, or other physical containment equipment.</w:t>
      </w:r>
    </w:p>
    <w:p w14:paraId="558460AE"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Lab staff must wash their hands after working with potentially hazardous materials and before leaving the laboratory.</w:t>
      </w:r>
    </w:p>
    <w:p w14:paraId="41F35D95"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Eating, drinking, chewing gum, handling contact lenses, applying cosmetics, and storing food for human consumption is not permitted in laboratory areas. Food must be stored outside the laboratory area in cabinets or refrigerators designated and used for this purpose.</w:t>
      </w:r>
    </w:p>
    <w:p w14:paraId="03E076BD"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The use of cell phones or other electronic listening devices must not be used when handling high hazard materials or agents.</w:t>
      </w:r>
    </w:p>
    <w:p w14:paraId="5C82A106"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Perform all procedures to minimize the creation of splashes and/or aerosols.</w:t>
      </w:r>
    </w:p>
    <w:p w14:paraId="2D192D8F" w14:textId="77777777" w:rsidR="008852B2" w:rsidRPr="00870919" w:rsidRDefault="008852B2" w:rsidP="00870919">
      <w:pPr>
        <w:pStyle w:val="ListParagraph"/>
        <w:numPr>
          <w:ilvl w:val="0"/>
          <w:numId w:val="30"/>
        </w:numPr>
        <w:spacing w:before="120" w:after="120" w:line="288" w:lineRule="auto"/>
        <w:rPr>
          <w:rFonts w:cstheme="minorHAnsi"/>
          <w:sz w:val="20"/>
          <w:szCs w:val="20"/>
        </w:rPr>
      </w:pPr>
      <w:r w:rsidRPr="00870919">
        <w:rPr>
          <w:rFonts w:cstheme="minorHAnsi"/>
          <w:sz w:val="20"/>
          <w:szCs w:val="20"/>
        </w:rPr>
        <w:t>An eyewash station must be readily available.</w:t>
      </w:r>
    </w:p>
    <w:p w14:paraId="4156D580" w14:textId="14E88577" w:rsidR="008852B2" w:rsidRPr="00DC7D29" w:rsidRDefault="008852B2" w:rsidP="008852B2">
      <w:pPr>
        <w:spacing w:before="120" w:after="120" w:line="288" w:lineRule="auto"/>
        <w:rPr>
          <w:rFonts w:cstheme="minorHAnsi"/>
          <w:b/>
          <w:sz w:val="24"/>
          <w:szCs w:val="24"/>
        </w:rPr>
      </w:pPr>
      <w:r>
        <w:rPr>
          <w:rFonts w:cstheme="minorHAnsi"/>
          <w:b/>
          <w:sz w:val="24"/>
          <w:szCs w:val="24"/>
        </w:rPr>
        <w:t xml:space="preserve">Section </w:t>
      </w:r>
      <w:r>
        <w:rPr>
          <w:rFonts w:cstheme="minorHAnsi"/>
          <w:b/>
          <w:sz w:val="24"/>
          <w:szCs w:val="24"/>
        </w:rPr>
        <w:t>8</w:t>
      </w:r>
      <w:r>
        <w:rPr>
          <w:rFonts w:cstheme="minorHAnsi"/>
          <w:b/>
          <w:sz w:val="24"/>
          <w:szCs w:val="24"/>
        </w:rPr>
        <w:t xml:space="preserve"> – </w:t>
      </w:r>
      <w:r>
        <w:rPr>
          <w:rFonts w:cstheme="minorHAnsi"/>
          <w:b/>
          <w:sz w:val="24"/>
          <w:szCs w:val="24"/>
        </w:rPr>
        <w:t>Animal Handling</w:t>
      </w:r>
    </w:p>
    <w:p w14:paraId="4D65AB05"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It is the Investigator’s responsibility to notify animal care staff prior to hazardous material administration.  A cage labeling card should identify the drug/toxin, date of initial injection, and date of final injection.  The entrance to the animal holding area should also be hazard labeled.</w:t>
      </w:r>
    </w:p>
    <w:p w14:paraId="505EBDAD"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Transport hazardous materials between labs in a properly labeled sealed container inside a second closed container to minimize the risk of breakage. The secondary container should be secured to the vehicle to ensure movement does not occur during transportation. Carry decontamination materials encase of a spill.</w:t>
      </w:r>
    </w:p>
    <w:p w14:paraId="5D9F6E09"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Low dust cage bedding should be used in filter top micro-isolators.</w:t>
      </w:r>
    </w:p>
    <w:p w14:paraId="484D4774"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The bedding in these cages is considered hazardous for 72 hours (3 days) after the final injection. Animal bedding is not to be changed for at least 72 hours (3 days) after the final date of administration of hazardous drugs.</w:t>
      </w:r>
    </w:p>
    <w:p w14:paraId="57BB1477"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 xml:space="preserve">After 72 hours (3 days) the cage will be changed by animal care staff. The bedding from these cages is considered hazardous and requires special handling.  Use a cage dump station and the recommended PPE.   Bedding from theses cages will dumped into an opaque plastic bag, labeled “Contaminated – Hazardous drugs” or “Contaminated Trace Chemical” and will subsequently be disposed of as hazardous waste by REM. </w:t>
      </w:r>
    </w:p>
    <w:p w14:paraId="3F0D0594"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Empty cages should be bagged and labeled so that the cage wash staff can utilize the appropriate PPE when loading into the cage washer.</w:t>
      </w:r>
    </w:p>
    <w:p w14:paraId="719BCB44" w14:textId="77777777" w:rsidR="008852B2" w:rsidRPr="00870919" w:rsidRDefault="008852B2" w:rsidP="00870919">
      <w:pPr>
        <w:pStyle w:val="ListParagraph"/>
        <w:numPr>
          <w:ilvl w:val="0"/>
          <w:numId w:val="31"/>
        </w:numPr>
        <w:spacing w:before="120" w:after="120" w:line="288" w:lineRule="auto"/>
        <w:rPr>
          <w:rFonts w:cstheme="minorHAnsi"/>
          <w:sz w:val="20"/>
          <w:szCs w:val="20"/>
        </w:rPr>
      </w:pPr>
      <w:r w:rsidRPr="00870919">
        <w:rPr>
          <w:rFonts w:cstheme="minorHAnsi"/>
          <w:sz w:val="20"/>
          <w:szCs w:val="20"/>
        </w:rPr>
        <w:t>Once mice have been transferred to the clean cage, no further special handling or cage identification is required as long as the animals have not received any additional hazardous drugs/chemicals.  Note: animals injected or infected with a biological agent must be handled with full PPE for the duration.</w:t>
      </w:r>
    </w:p>
    <w:p w14:paraId="248FD6E1" w14:textId="2BF90767" w:rsidR="008852B2" w:rsidRDefault="008852B2" w:rsidP="008852B2">
      <w:pPr>
        <w:spacing w:before="120" w:after="120" w:line="288" w:lineRule="auto"/>
        <w:rPr>
          <w:rFonts w:cstheme="minorHAnsi"/>
          <w:b/>
          <w:sz w:val="24"/>
          <w:szCs w:val="24"/>
        </w:rPr>
      </w:pPr>
      <w:r>
        <w:rPr>
          <w:rFonts w:cstheme="minorHAnsi"/>
          <w:b/>
          <w:sz w:val="24"/>
          <w:szCs w:val="24"/>
        </w:rPr>
        <w:lastRenderedPageBreak/>
        <w:t xml:space="preserve">Section </w:t>
      </w:r>
      <w:r>
        <w:rPr>
          <w:rFonts w:cstheme="minorHAnsi"/>
          <w:b/>
          <w:sz w:val="24"/>
          <w:szCs w:val="24"/>
        </w:rPr>
        <w:t>9</w:t>
      </w:r>
      <w:r>
        <w:rPr>
          <w:rFonts w:cstheme="minorHAnsi"/>
          <w:b/>
          <w:sz w:val="24"/>
          <w:szCs w:val="24"/>
        </w:rPr>
        <w:t xml:space="preserve"> – </w:t>
      </w:r>
      <w:r>
        <w:rPr>
          <w:rFonts w:cstheme="minorHAnsi"/>
          <w:b/>
          <w:sz w:val="24"/>
          <w:szCs w:val="24"/>
        </w:rPr>
        <w:t>Sharps</w:t>
      </w:r>
    </w:p>
    <w:p w14:paraId="6E5D5EA9" w14:textId="77777777" w:rsidR="008852B2" w:rsidRPr="00870919" w:rsidRDefault="008852B2" w:rsidP="00870919">
      <w:pPr>
        <w:pStyle w:val="ListParagraph"/>
        <w:numPr>
          <w:ilvl w:val="0"/>
          <w:numId w:val="32"/>
        </w:numPr>
        <w:spacing w:before="120" w:after="120" w:line="288" w:lineRule="auto"/>
        <w:rPr>
          <w:rFonts w:cstheme="minorHAnsi"/>
          <w:sz w:val="20"/>
          <w:szCs w:val="20"/>
        </w:rPr>
      </w:pPr>
      <w:r w:rsidRPr="00870919">
        <w:rPr>
          <w:rFonts w:cstheme="minorHAnsi"/>
          <w:sz w:val="20"/>
          <w:szCs w:val="20"/>
        </w:rPr>
        <w:t>Sharps are items that are capable of puncturing, cutting, or abrading the skin: glass and plastic pipettes, broken glass, test tubes, petri dishes, razor blades, needles, syringe with needle. Careful management of needles and other sharps are of primary importance. Needles must not be bent, sheared, broken, recapped, removed from disposable syringes, or otherwise manipulated by hand before disposal. Lab staff that routinely works with sharps and handle sharps waste should use appropriate personal protective equipment, tools, barrier protection, or engineering controls to protect themselves.</w:t>
      </w:r>
    </w:p>
    <w:p w14:paraId="0F055E54" w14:textId="77777777" w:rsidR="008852B2" w:rsidRPr="00870919" w:rsidRDefault="008852B2" w:rsidP="00870919">
      <w:pPr>
        <w:pStyle w:val="ListParagraph"/>
        <w:numPr>
          <w:ilvl w:val="0"/>
          <w:numId w:val="32"/>
        </w:numPr>
        <w:spacing w:before="120" w:after="120" w:line="288" w:lineRule="auto"/>
        <w:rPr>
          <w:rFonts w:cstheme="minorHAnsi"/>
          <w:sz w:val="20"/>
          <w:szCs w:val="20"/>
        </w:rPr>
      </w:pPr>
      <w:r w:rsidRPr="00870919">
        <w:rPr>
          <w:rFonts w:cstheme="minorHAnsi"/>
          <w:sz w:val="20"/>
          <w:szCs w:val="20"/>
        </w:rPr>
        <w:t xml:space="preserve">Specifically designed biohazard labeled sharps containers must be used for biohazard or human fluid/tissue/cell line contaminated items (needles, syringe with needle, razors, scalpel tips).  Note: These containers can be used for chemical contaminated sharps if the biohazard label is replaced with an orange hazardous waste disposal tag:  </w:t>
      </w:r>
    </w:p>
    <w:p w14:paraId="5C006367" w14:textId="77777777" w:rsidR="008852B2" w:rsidRPr="000B3B61" w:rsidRDefault="008852B2" w:rsidP="008852B2">
      <w:pPr>
        <w:spacing w:before="120" w:after="120" w:line="288" w:lineRule="auto"/>
        <w:rPr>
          <w:rFonts w:cstheme="minorHAnsi"/>
          <w:color w:val="FF0000"/>
        </w:rPr>
      </w:pPr>
      <w:r w:rsidRPr="000B3B61">
        <w:rPr>
          <w:rFonts w:cstheme="minorHAnsi"/>
          <w:noProof/>
          <w:color w:val="FF0000"/>
        </w:rPr>
        <w:drawing>
          <wp:inline distT="0" distB="0" distL="0" distR="0" wp14:anchorId="0B2783AD" wp14:editId="40AFFBA1">
            <wp:extent cx="2302030" cy="1503533"/>
            <wp:effectExtent l="0" t="0" r="3175" b="1905"/>
            <wp:docPr id="5" name="Picture 5" descr="Alternate Hazardous Wast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 Hazardous Waste Lab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2030" cy="1503533"/>
                    </a:xfrm>
                    <a:prstGeom prst="rect">
                      <a:avLst/>
                    </a:prstGeom>
                    <a:noFill/>
                    <a:ln>
                      <a:noFill/>
                    </a:ln>
                  </pic:spPr>
                </pic:pic>
              </a:graphicData>
            </a:graphic>
          </wp:inline>
        </w:drawing>
      </w:r>
    </w:p>
    <w:p w14:paraId="15F24AAD" w14:textId="154800F2" w:rsidR="008852B2" w:rsidRPr="00870919" w:rsidRDefault="00870919" w:rsidP="00870919">
      <w:pPr>
        <w:pStyle w:val="ListParagraph"/>
        <w:numPr>
          <w:ilvl w:val="0"/>
          <w:numId w:val="33"/>
        </w:numPr>
        <w:spacing w:before="120" w:after="120" w:line="288" w:lineRule="auto"/>
        <w:rPr>
          <w:rFonts w:cstheme="minorHAnsi"/>
          <w:sz w:val="20"/>
          <w:szCs w:val="20"/>
        </w:rPr>
      </w:pPr>
      <w:r>
        <w:rPr>
          <w:rFonts w:cstheme="minorHAnsi"/>
          <w:sz w:val="20"/>
          <w:szCs w:val="20"/>
        </w:rPr>
        <w:t xml:space="preserve">Refer to the </w:t>
      </w:r>
      <w:r w:rsidR="008852B2" w:rsidRPr="00870919">
        <w:rPr>
          <w:rFonts w:cstheme="minorHAnsi"/>
          <w:sz w:val="20"/>
          <w:szCs w:val="20"/>
        </w:rPr>
        <w:t>Sharps and Infectious Waste Handling Guidelines</w:t>
      </w:r>
      <w:r>
        <w:rPr>
          <w:rFonts w:cstheme="minorHAnsi"/>
          <w:sz w:val="20"/>
          <w:szCs w:val="20"/>
        </w:rPr>
        <w:t xml:space="preserve"> for more details</w:t>
      </w:r>
      <w:r w:rsidR="008852B2" w:rsidRPr="00870919">
        <w:rPr>
          <w:rFonts w:cstheme="minorHAnsi"/>
          <w:sz w:val="20"/>
          <w:szCs w:val="20"/>
        </w:rPr>
        <w:t xml:space="preserve">: </w:t>
      </w:r>
      <w:hyperlink r:id="rId14" w:history="1">
        <w:r w:rsidR="008852B2" w:rsidRPr="00870919">
          <w:rPr>
            <w:rStyle w:val="Hyperlink"/>
            <w:rFonts w:cstheme="minorHAnsi"/>
            <w:sz w:val="20"/>
            <w:szCs w:val="20"/>
          </w:rPr>
          <w:t>Sharps procedure</w:t>
        </w:r>
      </w:hyperlink>
      <w:r>
        <w:rPr>
          <w:rStyle w:val="Hyperlink"/>
          <w:rFonts w:cstheme="minorHAnsi"/>
          <w:sz w:val="20"/>
          <w:szCs w:val="20"/>
        </w:rPr>
        <w:t>s</w:t>
      </w:r>
    </w:p>
    <w:p w14:paraId="5D893B30" w14:textId="63975E2A" w:rsidR="008852B2" w:rsidRPr="00DC7D29" w:rsidRDefault="008852B2" w:rsidP="008852B2">
      <w:pPr>
        <w:spacing w:before="120" w:after="120" w:line="288" w:lineRule="auto"/>
        <w:rPr>
          <w:rFonts w:cstheme="minorHAnsi"/>
          <w:b/>
          <w:sz w:val="24"/>
          <w:szCs w:val="24"/>
        </w:rPr>
      </w:pPr>
      <w:r>
        <w:rPr>
          <w:rFonts w:cstheme="minorHAnsi"/>
          <w:b/>
          <w:sz w:val="24"/>
          <w:szCs w:val="24"/>
        </w:rPr>
        <w:t xml:space="preserve">Section </w:t>
      </w:r>
      <w:r>
        <w:rPr>
          <w:rFonts w:cstheme="minorHAnsi"/>
          <w:b/>
          <w:sz w:val="24"/>
          <w:szCs w:val="24"/>
        </w:rPr>
        <w:t>10</w:t>
      </w:r>
      <w:r>
        <w:rPr>
          <w:rFonts w:cstheme="minorHAnsi"/>
          <w:b/>
          <w:sz w:val="24"/>
          <w:szCs w:val="24"/>
        </w:rPr>
        <w:t xml:space="preserve"> – </w:t>
      </w:r>
      <w:r>
        <w:rPr>
          <w:rFonts w:cstheme="minorHAnsi"/>
          <w:b/>
          <w:sz w:val="24"/>
          <w:szCs w:val="24"/>
        </w:rPr>
        <w:t>Decontamination</w:t>
      </w:r>
      <w:r w:rsidRPr="00DC7D29">
        <w:rPr>
          <w:rFonts w:cstheme="minorHAnsi"/>
          <w:b/>
          <w:sz w:val="24"/>
          <w:szCs w:val="24"/>
        </w:rPr>
        <w:t xml:space="preserve"> Procedures</w:t>
      </w:r>
    </w:p>
    <w:p w14:paraId="016F7D4B"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sz w:val="20"/>
          <w:szCs w:val="20"/>
        </w:rPr>
      </w:pPr>
      <w:r w:rsidRPr="00870919">
        <w:rPr>
          <w:rFonts w:cstheme="minorHAnsi"/>
          <w:sz w:val="20"/>
          <w:szCs w:val="20"/>
        </w:rPr>
        <w:t>Laboratory wastes will be decontaminated by autoclave, chemical disinfection, incineration, or other validated decontamination method.</w:t>
      </w:r>
    </w:p>
    <w:p w14:paraId="2D2646B1"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sz w:val="20"/>
          <w:szCs w:val="20"/>
        </w:rPr>
      </w:pPr>
      <w:r w:rsidRPr="00870919">
        <w:rPr>
          <w:rFonts w:cstheme="minorHAnsi"/>
          <w:sz w:val="20"/>
          <w:szCs w:val="20"/>
        </w:rPr>
        <w:t xml:space="preserve">Decontaminate all cultures, stocks, and other potentially infectious materials before disposal. </w:t>
      </w:r>
    </w:p>
    <w:p w14:paraId="3072C0BB"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sz w:val="20"/>
          <w:szCs w:val="20"/>
        </w:rPr>
      </w:pPr>
      <w:r w:rsidRPr="00870919">
        <w:rPr>
          <w:rFonts w:cstheme="minorHAnsi"/>
          <w:sz w:val="20"/>
          <w:szCs w:val="20"/>
        </w:rPr>
        <w:t xml:space="preserve">Materials to be decontaminated outside of the immediate laboratory must be placed in an </w:t>
      </w:r>
      <w:proofErr w:type="spellStart"/>
      <w:r w:rsidRPr="00870919">
        <w:rPr>
          <w:rFonts w:cstheme="minorHAnsi"/>
          <w:sz w:val="20"/>
          <w:szCs w:val="20"/>
        </w:rPr>
        <w:t>autoclavable</w:t>
      </w:r>
      <w:proofErr w:type="spellEnd"/>
      <w:r w:rsidRPr="00870919">
        <w:rPr>
          <w:rFonts w:cstheme="minorHAnsi"/>
          <w:sz w:val="20"/>
          <w:szCs w:val="20"/>
        </w:rPr>
        <w:t xml:space="preserve"> biohazard bag and kept secured until decontaminated. </w:t>
      </w:r>
    </w:p>
    <w:p w14:paraId="3D588F67"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sz w:val="20"/>
          <w:szCs w:val="20"/>
        </w:rPr>
      </w:pPr>
      <w:r w:rsidRPr="00870919">
        <w:rPr>
          <w:rFonts w:cstheme="minorHAnsi"/>
          <w:sz w:val="20"/>
          <w:szCs w:val="20"/>
        </w:rPr>
        <w:t>Equipment must be decontaminated before repair, maintenance, or removal from the laboratory.</w:t>
      </w:r>
    </w:p>
    <w:p w14:paraId="09822CDD"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sz w:val="20"/>
          <w:szCs w:val="20"/>
        </w:rPr>
      </w:pPr>
      <w:r w:rsidRPr="00870919">
        <w:rPr>
          <w:rFonts w:cstheme="minorHAnsi"/>
          <w:sz w:val="20"/>
          <w:szCs w:val="20"/>
        </w:rPr>
        <w:t xml:space="preserve">Decontaminate all spills, equipment, counters, and work surfaces. A 10% bleach solution or 70% ethanol can be used to disinfect and a strong detergent and water rinse may remove most drug residues. Repeating the cleaning steps will provide addition drug removal. </w:t>
      </w:r>
    </w:p>
    <w:p w14:paraId="61FFCC30" w14:textId="77777777" w:rsidR="008852B2" w:rsidRPr="00870919" w:rsidRDefault="008852B2" w:rsidP="00870919">
      <w:pPr>
        <w:pStyle w:val="ListParagraph"/>
        <w:numPr>
          <w:ilvl w:val="0"/>
          <w:numId w:val="33"/>
        </w:numPr>
        <w:shd w:val="clear" w:color="auto" w:fill="FFFFFF"/>
        <w:spacing w:before="120" w:after="120" w:line="288" w:lineRule="auto"/>
        <w:rPr>
          <w:rFonts w:cstheme="minorHAnsi"/>
          <w:b/>
          <w:sz w:val="20"/>
          <w:szCs w:val="20"/>
        </w:rPr>
      </w:pPr>
      <w:r w:rsidRPr="00870919">
        <w:rPr>
          <w:rFonts w:cstheme="minorHAnsi"/>
          <w:sz w:val="20"/>
          <w:szCs w:val="20"/>
        </w:rPr>
        <w:t>Decontamination materials need to be available in case of a spill during transportation.</w:t>
      </w:r>
      <w:r w:rsidRPr="00870919">
        <w:rPr>
          <w:rFonts w:cstheme="minorHAnsi"/>
          <w:b/>
          <w:sz w:val="20"/>
          <w:szCs w:val="20"/>
        </w:rPr>
        <w:t xml:space="preserve"> </w:t>
      </w:r>
    </w:p>
    <w:p w14:paraId="2BDF0D67" w14:textId="77777777" w:rsidR="008852B2" w:rsidRPr="00DC7D29" w:rsidRDefault="008852B2" w:rsidP="008852B2">
      <w:pPr>
        <w:spacing w:before="120" w:after="120" w:line="288" w:lineRule="auto"/>
        <w:rPr>
          <w:rFonts w:cstheme="minorHAnsi"/>
          <w:b/>
          <w:sz w:val="24"/>
          <w:szCs w:val="24"/>
        </w:rPr>
      </w:pPr>
      <w:r>
        <w:rPr>
          <w:rFonts w:cstheme="minorHAnsi"/>
          <w:b/>
          <w:sz w:val="24"/>
          <w:szCs w:val="24"/>
        </w:rPr>
        <w:t xml:space="preserve">Section 11 – </w:t>
      </w:r>
      <w:r w:rsidRPr="00DC7D29">
        <w:rPr>
          <w:rFonts w:cstheme="minorHAnsi"/>
          <w:b/>
          <w:sz w:val="24"/>
          <w:szCs w:val="24"/>
        </w:rPr>
        <w:t>Waste Disposal Procedure</w:t>
      </w:r>
      <w:r>
        <w:rPr>
          <w:rFonts w:cstheme="minorHAnsi"/>
          <w:b/>
          <w:sz w:val="24"/>
          <w:szCs w:val="24"/>
        </w:rPr>
        <w:t>s</w:t>
      </w:r>
    </w:p>
    <w:p w14:paraId="00E0E2AD" w14:textId="7534F2FC" w:rsidR="00870919" w:rsidRPr="00870919" w:rsidRDefault="00870919" w:rsidP="00870919">
      <w:pPr>
        <w:pStyle w:val="ListParagraph"/>
        <w:numPr>
          <w:ilvl w:val="0"/>
          <w:numId w:val="34"/>
        </w:numPr>
        <w:spacing w:before="120" w:after="120" w:line="288" w:lineRule="auto"/>
        <w:rPr>
          <w:rFonts w:cstheme="minorHAnsi"/>
          <w:sz w:val="20"/>
          <w:szCs w:val="20"/>
        </w:rPr>
      </w:pPr>
      <w:r w:rsidRPr="00870919">
        <w:rPr>
          <w:rFonts w:cstheme="minorHAnsi"/>
          <w:sz w:val="20"/>
          <w:szCs w:val="20"/>
        </w:rPr>
        <w:t xml:space="preserve">It is important to understand that biological waste must be managed separately from chemical waste. Detailed biological waste procedures: </w:t>
      </w:r>
      <w:hyperlink r:id="rId15" w:history="1">
        <w:r w:rsidRPr="00870919">
          <w:rPr>
            <w:rStyle w:val="Hyperlink"/>
            <w:rFonts w:cstheme="minorHAnsi"/>
            <w:sz w:val="20"/>
            <w:szCs w:val="20"/>
          </w:rPr>
          <w:t>http://www.purdue.edu/rem/eh/biowaste.htm</w:t>
        </w:r>
      </w:hyperlink>
      <w:r w:rsidRPr="00870919">
        <w:rPr>
          <w:rFonts w:cstheme="minorHAnsi"/>
          <w:sz w:val="20"/>
          <w:szCs w:val="20"/>
        </w:rPr>
        <w:t xml:space="preserve">; </w:t>
      </w:r>
      <w:r>
        <w:rPr>
          <w:rFonts w:cstheme="minorHAnsi"/>
          <w:sz w:val="20"/>
          <w:szCs w:val="20"/>
        </w:rPr>
        <w:t>d</w:t>
      </w:r>
      <w:r w:rsidRPr="00870919">
        <w:rPr>
          <w:rFonts w:cstheme="minorHAnsi"/>
          <w:sz w:val="20"/>
          <w:szCs w:val="20"/>
        </w:rPr>
        <w:t xml:space="preserve">etailed chemical waste procedures: </w:t>
      </w:r>
      <w:hyperlink r:id="rId16" w:history="1">
        <w:r w:rsidRPr="00870919">
          <w:rPr>
            <w:rStyle w:val="Hyperlink"/>
            <w:rFonts w:cstheme="minorHAnsi"/>
            <w:sz w:val="20"/>
            <w:szCs w:val="20"/>
          </w:rPr>
          <w:t>http://www.purdue.edu/rem/hmm/chemwast.htm</w:t>
        </w:r>
      </w:hyperlink>
      <w:bookmarkStart w:id="0" w:name="_GoBack"/>
      <w:bookmarkEnd w:id="0"/>
    </w:p>
    <w:p w14:paraId="64255488" w14:textId="77777777" w:rsidR="00870919" w:rsidRPr="00870919" w:rsidRDefault="00870919" w:rsidP="00870919">
      <w:pPr>
        <w:pStyle w:val="ListParagraph"/>
        <w:numPr>
          <w:ilvl w:val="0"/>
          <w:numId w:val="34"/>
        </w:numPr>
        <w:spacing w:before="120" w:after="120" w:line="288" w:lineRule="auto"/>
        <w:rPr>
          <w:rFonts w:cstheme="minorHAnsi"/>
          <w:sz w:val="20"/>
          <w:szCs w:val="20"/>
        </w:rPr>
      </w:pPr>
      <w:r w:rsidRPr="00870919">
        <w:rPr>
          <w:rFonts w:cstheme="minorHAnsi"/>
          <w:sz w:val="20"/>
          <w:szCs w:val="20"/>
        </w:rPr>
        <w:t>Drug or chemical contaminated sharps containers are disposed as chemical waste via REM.</w:t>
      </w:r>
    </w:p>
    <w:p w14:paraId="0728BEB9" w14:textId="77777777" w:rsidR="00870919" w:rsidRPr="00870919" w:rsidRDefault="00870919" w:rsidP="00870919">
      <w:pPr>
        <w:pStyle w:val="ListParagraph"/>
        <w:numPr>
          <w:ilvl w:val="0"/>
          <w:numId w:val="34"/>
        </w:numPr>
        <w:spacing w:before="120" w:after="120" w:line="288" w:lineRule="auto"/>
        <w:rPr>
          <w:rFonts w:cstheme="minorHAnsi"/>
          <w:sz w:val="20"/>
          <w:szCs w:val="20"/>
        </w:rPr>
      </w:pPr>
      <w:r w:rsidRPr="00870919">
        <w:rPr>
          <w:rFonts w:cstheme="minorHAnsi"/>
          <w:sz w:val="20"/>
          <w:szCs w:val="20"/>
        </w:rPr>
        <w:t>High hazard related animal bedding must be bagged and disposed as trace hazardous drug contaminated via REM.</w:t>
      </w:r>
    </w:p>
    <w:p w14:paraId="41298677" w14:textId="77777777" w:rsidR="00870919" w:rsidRPr="00870919" w:rsidRDefault="00870919" w:rsidP="00870919">
      <w:pPr>
        <w:pStyle w:val="ListParagraph"/>
        <w:numPr>
          <w:ilvl w:val="0"/>
          <w:numId w:val="34"/>
        </w:numPr>
        <w:spacing w:before="120" w:after="120" w:line="288" w:lineRule="auto"/>
        <w:rPr>
          <w:rFonts w:cstheme="minorHAnsi"/>
          <w:sz w:val="20"/>
          <w:szCs w:val="20"/>
        </w:rPr>
      </w:pPr>
      <w:r w:rsidRPr="00870919">
        <w:rPr>
          <w:rFonts w:cstheme="minorHAnsi"/>
          <w:sz w:val="20"/>
          <w:szCs w:val="20"/>
        </w:rPr>
        <w:t>Animals that have been administered high hazards can be disposed the same as other euthanized research animals (freezer burn box then incinerated).</w:t>
      </w:r>
    </w:p>
    <w:p w14:paraId="3DF7B01D" w14:textId="16CCDCD8" w:rsidR="003F564F" w:rsidRPr="00A72E8B" w:rsidRDefault="000E228A" w:rsidP="00A06BFA">
      <w:pPr>
        <w:shd w:val="clear" w:color="auto" w:fill="FFFFFF"/>
        <w:spacing w:before="120" w:after="120" w:line="288" w:lineRule="auto"/>
        <w:rPr>
          <w:rFonts w:cstheme="minorHAnsi"/>
          <w:i/>
          <w:sz w:val="24"/>
          <w:szCs w:val="24"/>
        </w:rPr>
      </w:pPr>
      <w:r w:rsidRPr="00A72E8B">
        <w:rPr>
          <w:rFonts w:cstheme="minorHAnsi"/>
          <w:b/>
          <w:sz w:val="24"/>
          <w:szCs w:val="24"/>
        </w:rPr>
        <w:lastRenderedPageBreak/>
        <w:t>Section 1</w:t>
      </w:r>
      <w:r w:rsidR="008852B2">
        <w:rPr>
          <w:rFonts w:cstheme="minorHAnsi"/>
          <w:b/>
          <w:sz w:val="24"/>
          <w:szCs w:val="24"/>
        </w:rPr>
        <w:t>2</w:t>
      </w:r>
      <w:r w:rsidRPr="00A72E8B">
        <w:rPr>
          <w:rFonts w:cstheme="minorHAnsi"/>
          <w:b/>
          <w:sz w:val="24"/>
          <w:szCs w:val="24"/>
        </w:rPr>
        <w:t xml:space="preserve"> – Medical Emergency</w:t>
      </w:r>
    </w:p>
    <w:p w14:paraId="587764B3" w14:textId="77777777" w:rsidR="000E228A" w:rsidRPr="000E228A" w:rsidRDefault="00C406D4" w:rsidP="00A06BFA">
      <w:pPr>
        <w:spacing w:before="120" w:after="120" w:line="288" w:lineRule="auto"/>
        <w:rPr>
          <w:rFonts w:cstheme="minorHAnsi"/>
          <w:b/>
          <w:sz w:val="20"/>
          <w:szCs w:val="20"/>
          <w:u w:val="single"/>
        </w:rPr>
      </w:pPr>
      <w:r w:rsidRPr="000E228A">
        <w:rPr>
          <w:rFonts w:cstheme="minorHAnsi"/>
          <w:b/>
          <w:sz w:val="20"/>
          <w:szCs w:val="20"/>
          <w:u w:val="single"/>
        </w:rPr>
        <w:t xml:space="preserve">Life Threatening Emergency, After Hours, Weekends </w:t>
      </w:r>
      <w:proofErr w:type="gramStart"/>
      <w:r w:rsidRPr="000E228A">
        <w:rPr>
          <w:rFonts w:cstheme="minorHAnsi"/>
          <w:b/>
          <w:sz w:val="20"/>
          <w:szCs w:val="20"/>
          <w:u w:val="single"/>
        </w:rPr>
        <w:t>And</w:t>
      </w:r>
      <w:proofErr w:type="gramEnd"/>
      <w:r w:rsidRPr="000E228A">
        <w:rPr>
          <w:rFonts w:cstheme="minorHAnsi"/>
          <w:b/>
          <w:sz w:val="20"/>
          <w:szCs w:val="20"/>
          <w:u w:val="single"/>
        </w:rPr>
        <w:t xml:space="preserve"> Holidays</w:t>
      </w:r>
      <w:r w:rsidR="000E228A" w:rsidRPr="000E228A">
        <w:rPr>
          <w:rFonts w:cstheme="minorHAnsi"/>
          <w:b/>
          <w:sz w:val="20"/>
          <w:szCs w:val="20"/>
          <w:u w:val="single"/>
        </w:rPr>
        <w:t>:</w:t>
      </w:r>
    </w:p>
    <w:p w14:paraId="622C1CAE" w14:textId="52F22BB2" w:rsidR="00C406D4" w:rsidRPr="009E4CC7" w:rsidRDefault="00C406D4" w:rsidP="00A06BFA">
      <w:pPr>
        <w:spacing w:before="120" w:after="120" w:line="288" w:lineRule="auto"/>
        <w:rPr>
          <w:rFonts w:cstheme="minorHAnsi"/>
          <w:sz w:val="20"/>
          <w:szCs w:val="20"/>
        </w:rPr>
      </w:pPr>
      <w:r w:rsidRPr="009E4CC7">
        <w:rPr>
          <w:rFonts w:cstheme="minorHAnsi"/>
          <w:b/>
          <w:sz w:val="20"/>
          <w:szCs w:val="20"/>
        </w:rPr>
        <w:t>Dial</w:t>
      </w:r>
      <w:r w:rsidRPr="00DC7D29">
        <w:rPr>
          <w:rFonts w:cstheme="minorHAnsi"/>
          <w:sz w:val="20"/>
          <w:szCs w:val="20"/>
        </w:rPr>
        <w:t xml:space="preserve"> </w:t>
      </w:r>
      <w:r w:rsidRPr="00DC7D29">
        <w:rPr>
          <w:rFonts w:cstheme="minorHAnsi"/>
          <w:b/>
          <w:color w:val="FF0000"/>
          <w:sz w:val="20"/>
          <w:szCs w:val="20"/>
        </w:rPr>
        <w:t>911</w:t>
      </w:r>
      <w:r w:rsidRPr="00DC7D29">
        <w:rPr>
          <w:rFonts w:cstheme="minorHAnsi"/>
          <w:sz w:val="20"/>
          <w:szCs w:val="20"/>
        </w:rPr>
        <w:t xml:space="preserve"> </w:t>
      </w:r>
    </w:p>
    <w:p w14:paraId="159F47F9" w14:textId="77777777" w:rsidR="000E228A" w:rsidRDefault="00C406D4" w:rsidP="00A06BFA">
      <w:pPr>
        <w:spacing w:before="120" w:after="120" w:line="288" w:lineRule="auto"/>
        <w:rPr>
          <w:rFonts w:cstheme="minorHAnsi"/>
          <w:sz w:val="20"/>
          <w:szCs w:val="20"/>
        </w:rPr>
      </w:pPr>
      <w:r w:rsidRPr="000E228A">
        <w:rPr>
          <w:rFonts w:cstheme="minorHAnsi"/>
          <w:b/>
          <w:sz w:val="20"/>
          <w:szCs w:val="20"/>
          <w:u w:val="single"/>
        </w:rPr>
        <w:t>Non-Life Threatening Emergency</w:t>
      </w:r>
      <w:r w:rsidR="000E228A">
        <w:rPr>
          <w:rFonts w:cstheme="minorHAnsi"/>
          <w:sz w:val="20"/>
          <w:szCs w:val="20"/>
        </w:rPr>
        <w:t>:</w:t>
      </w:r>
    </w:p>
    <w:p w14:paraId="51551860" w14:textId="57F18EEF" w:rsidR="00C406D4" w:rsidRDefault="008852B2" w:rsidP="008852B2">
      <w:pPr>
        <w:spacing w:line="288" w:lineRule="auto"/>
        <w:rPr>
          <w:rFonts w:cstheme="minorHAnsi"/>
          <w:sz w:val="20"/>
          <w:szCs w:val="20"/>
        </w:rPr>
      </w:pPr>
      <w:r w:rsidRPr="008852B2">
        <w:rPr>
          <w:rFonts w:cstheme="minorHAnsi"/>
          <w:sz w:val="20"/>
          <w:szCs w:val="20"/>
        </w:rPr>
        <w:t>All employees, whether undergrad, grad, part-time or full-time must go to IU Health Arnett Occupational Health Center, Unity Healthcare’s Regional Occupational Care Center (ROCC), or one of the emergency rooms (if emergency room is required).  Purdue University Student Health (PUSH) and the Center for Healthy Living should not to be used for ANY employee injury.  Report the incident to the Biosafety Officer as soon as possible.</w:t>
      </w:r>
      <w:r>
        <w:rPr>
          <w:rFonts w:cstheme="minorHAnsi"/>
          <w:sz w:val="20"/>
          <w:szCs w:val="20"/>
        </w:rPr>
        <w:t xml:space="preserve"> I</w:t>
      </w:r>
      <w:r w:rsidR="009E4CC7">
        <w:rPr>
          <w:rFonts w:cstheme="minorHAnsi"/>
          <w:sz w:val="20"/>
          <w:szCs w:val="20"/>
        </w:rPr>
        <w:t>mmediately report injury to supervisor and complete the First Report of Injury. (</w:t>
      </w:r>
      <w:hyperlink r:id="rId17" w:history="1">
        <w:r w:rsidR="009E4CC7" w:rsidRPr="00772FAE">
          <w:rPr>
            <w:rStyle w:val="Hyperlink"/>
            <w:rFonts w:cstheme="minorHAnsi"/>
            <w:sz w:val="20"/>
            <w:szCs w:val="20"/>
          </w:rPr>
          <w:t>http://www.purdue.edu/rem/injury/froi.htm</w:t>
        </w:r>
      </w:hyperlink>
      <w:r w:rsidR="009E4CC7">
        <w:rPr>
          <w:rFonts w:cstheme="minorHAnsi"/>
          <w:sz w:val="20"/>
          <w:szCs w:val="20"/>
        </w:rPr>
        <w:t>)</w:t>
      </w:r>
    </w:p>
    <w:p w14:paraId="6E21F2EE" w14:textId="37D64834" w:rsidR="00803871" w:rsidRPr="00DC7D29" w:rsidRDefault="00A06BFA" w:rsidP="00A06BFA">
      <w:pPr>
        <w:spacing w:before="120" w:after="120" w:line="288" w:lineRule="auto"/>
        <w:rPr>
          <w:rFonts w:cstheme="minorHAnsi"/>
          <w:b/>
        </w:rPr>
      </w:pPr>
      <w:r>
        <w:rPr>
          <w:rFonts w:cstheme="minorHAnsi"/>
          <w:b/>
          <w:sz w:val="24"/>
          <w:szCs w:val="24"/>
        </w:rPr>
        <w:t>Section 1</w:t>
      </w:r>
      <w:r w:rsidR="008F750A">
        <w:rPr>
          <w:rFonts w:cstheme="minorHAnsi"/>
          <w:b/>
          <w:sz w:val="24"/>
          <w:szCs w:val="24"/>
        </w:rPr>
        <w:t>3</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A72E8B">
        <w:rPr>
          <w:rFonts w:cstheme="minorHAnsi"/>
          <w:b/>
          <w:color w:val="FF0000"/>
          <w:sz w:val="20"/>
          <w:szCs w:val="20"/>
        </w:rPr>
        <w:t>(signature of all users is required)</w:t>
      </w:r>
    </w:p>
    <w:p w14:paraId="277193FE" w14:textId="42DD2553"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Prior to conducting any work with</w:t>
      </w:r>
      <w:r w:rsidR="00712B4D" w:rsidRPr="00DC7D29">
        <w:rPr>
          <w:rFonts w:asciiTheme="minorHAnsi" w:hAnsiTheme="minorHAnsi" w:cstheme="minorHAnsi"/>
          <w:sz w:val="20"/>
          <w:szCs w:val="20"/>
        </w:rPr>
        <w:t xml:space="preserve"> </w:t>
      </w:r>
      <w:r w:rsidR="008F750A">
        <w:rPr>
          <w:rFonts w:asciiTheme="minorHAnsi" w:hAnsiTheme="minorHAnsi" w:cstheme="minorHAnsi"/>
          <w:color w:val="222222"/>
          <w:sz w:val="20"/>
          <w:szCs w:val="20"/>
        </w:rPr>
        <w:t>high hazard materials</w:t>
      </w:r>
      <w:r w:rsidR="00741182" w:rsidRPr="00DC7D29">
        <w:rPr>
          <w:rFonts w:asciiTheme="minorHAnsi" w:hAnsiTheme="minorHAnsi" w:cstheme="minorHAnsi"/>
          <w:sz w:val="20"/>
          <w:szCs w:val="20"/>
        </w:rPr>
        <w:t xml:space="preserve">, </w:t>
      </w:r>
      <w:r w:rsidRPr="00DC7D29">
        <w:rPr>
          <w:rFonts w:asciiTheme="minorHAnsi" w:hAnsiTheme="minorHAnsi" w:cstheme="minorHAnsi"/>
          <w:sz w:val="20"/>
          <w:szCs w:val="20"/>
        </w:rPr>
        <w:t xml:space="preserve">designated personnel must provide training to his/her laboratory personnel specific to the hazards involved in working with this substance, work area decontamination, and emergency procedures.  </w:t>
      </w:r>
    </w:p>
    <w:p w14:paraId="0525CF14" w14:textId="77777777"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provide his/her laboratory personnel with a copy of this SOP and a copy of the SDS provided by the manufacturer.  </w:t>
      </w:r>
    </w:p>
    <w:p w14:paraId="2C102193" w14:textId="77777777" w:rsidR="00803871" w:rsidRPr="00DC7D29" w:rsidRDefault="00803871" w:rsidP="00A06BFA">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ensure that his/her laboratory personnel have attended appropriate laboratory safety training or refresher training within the last one year.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9D1F3E">
        <w:trPr>
          <w:trHeight w:val="576"/>
          <w:tblHeader/>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9D1F3E">
        <w:trPr>
          <w:trHeight w:val="576"/>
          <w:tblHeader/>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9D1F3E">
        <w:trPr>
          <w:trHeight w:val="576"/>
          <w:tblHeader/>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9D1F3E">
        <w:trPr>
          <w:trHeight w:val="576"/>
          <w:tblHeader/>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AE3CF1" w:rsidRPr="00DC7D29" w14:paraId="29202E85" w14:textId="77777777" w:rsidTr="009D1F3E">
        <w:trPr>
          <w:trHeight w:val="576"/>
          <w:tblHeader/>
        </w:trPr>
        <w:sdt>
          <w:sdtPr>
            <w:rPr>
              <w:rFonts w:cstheme="minorHAnsi"/>
              <w:b/>
              <w:sz w:val="24"/>
              <w:szCs w:val="24"/>
            </w:rPr>
            <w:id w:val="462630069"/>
            <w:showingPlcHdr/>
          </w:sdtPr>
          <w:sdtEndPr/>
          <w:sdtContent>
            <w:tc>
              <w:tcPr>
                <w:tcW w:w="3978" w:type="dxa"/>
              </w:tcPr>
              <w:p w14:paraId="3998E07F"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E93982" w14:textId="77777777" w:rsidR="00AE3CF1" w:rsidRPr="00DC7D29" w:rsidRDefault="00AE3CF1" w:rsidP="009F2FA8">
            <w:pPr>
              <w:spacing w:before="120" w:after="120" w:line="288" w:lineRule="auto"/>
              <w:rPr>
                <w:rFonts w:cstheme="minorHAnsi"/>
                <w:b/>
                <w:sz w:val="24"/>
                <w:szCs w:val="24"/>
              </w:rPr>
            </w:pPr>
          </w:p>
        </w:tc>
        <w:sdt>
          <w:sdtPr>
            <w:rPr>
              <w:rFonts w:cstheme="minorHAnsi"/>
              <w:b/>
              <w:sz w:val="24"/>
              <w:szCs w:val="24"/>
            </w:rPr>
            <w:id w:val="2025506178"/>
            <w:showingPlcHdr/>
            <w:date>
              <w:dateFormat w:val="M/d/yyyy"/>
              <w:lid w:val="en-US"/>
              <w:storeMappedDataAs w:val="dateTime"/>
              <w:calendar w:val="gregorian"/>
            </w:date>
          </w:sdtPr>
          <w:sdtEndPr/>
          <w:sdtContent>
            <w:tc>
              <w:tcPr>
                <w:tcW w:w="2178" w:type="dxa"/>
              </w:tcPr>
              <w:p w14:paraId="6650141B"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AE3CF1" w:rsidRPr="00DC7D29" w14:paraId="581E9792" w14:textId="77777777" w:rsidTr="009D1F3E">
        <w:trPr>
          <w:trHeight w:val="576"/>
          <w:tblHeader/>
        </w:trPr>
        <w:sdt>
          <w:sdtPr>
            <w:rPr>
              <w:rFonts w:cstheme="minorHAnsi"/>
              <w:b/>
              <w:sz w:val="24"/>
              <w:szCs w:val="24"/>
            </w:rPr>
            <w:id w:val="-2126385045"/>
            <w:showingPlcHdr/>
          </w:sdtPr>
          <w:sdtEndPr/>
          <w:sdtContent>
            <w:tc>
              <w:tcPr>
                <w:tcW w:w="3978" w:type="dxa"/>
              </w:tcPr>
              <w:p w14:paraId="7D7DA0B6"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78B6F9C" w14:textId="77777777" w:rsidR="00AE3CF1" w:rsidRPr="00DC7D29" w:rsidRDefault="00AE3CF1" w:rsidP="009F2FA8">
            <w:pPr>
              <w:spacing w:before="120" w:after="120" w:line="288" w:lineRule="auto"/>
              <w:rPr>
                <w:rFonts w:cstheme="minorHAnsi"/>
                <w:b/>
                <w:sz w:val="24"/>
                <w:szCs w:val="24"/>
              </w:rPr>
            </w:pPr>
          </w:p>
        </w:tc>
        <w:sdt>
          <w:sdtPr>
            <w:rPr>
              <w:rFonts w:cstheme="minorHAnsi"/>
              <w:b/>
              <w:sz w:val="24"/>
              <w:szCs w:val="24"/>
            </w:rPr>
            <w:id w:val="-1391264941"/>
            <w:showingPlcHdr/>
            <w:date>
              <w:dateFormat w:val="M/d/yyyy"/>
              <w:lid w:val="en-US"/>
              <w:storeMappedDataAs w:val="dateTime"/>
              <w:calendar w:val="gregorian"/>
            </w:date>
          </w:sdtPr>
          <w:sdtEndPr/>
          <w:sdtContent>
            <w:tc>
              <w:tcPr>
                <w:tcW w:w="2178" w:type="dxa"/>
              </w:tcPr>
              <w:p w14:paraId="1B459981"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AE3CF1" w:rsidRPr="00DC7D29" w14:paraId="3EE678C4" w14:textId="77777777" w:rsidTr="009D1F3E">
        <w:trPr>
          <w:trHeight w:val="576"/>
          <w:tblHeader/>
        </w:trPr>
        <w:sdt>
          <w:sdtPr>
            <w:rPr>
              <w:rFonts w:cstheme="minorHAnsi"/>
              <w:b/>
              <w:sz w:val="24"/>
              <w:szCs w:val="24"/>
            </w:rPr>
            <w:id w:val="-169415924"/>
            <w:showingPlcHdr/>
          </w:sdtPr>
          <w:sdtEndPr/>
          <w:sdtContent>
            <w:tc>
              <w:tcPr>
                <w:tcW w:w="3978" w:type="dxa"/>
              </w:tcPr>
              <w:p w14:paraId="1E9104A3"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C6BAD6B" w14:textId="77777777" w:rsidR="00AE3CF1" w:rsidRPr="00DC7D29" w:rsidRDefault="00AE3CF1" w:rsidP="009F2FA8">
            <w:pPr>
              <w:spacing w:before="120" w:after="120" w:line="288" w:lineRule="auto"/>
              <w:rPr>
                <w:rFonts w:cstheme="minorHAnsi"/>
                <w:b/>
                <w:sz w:val="24"/>
                <w:szCs w:val="24"/>
              </w:rPr>
            </w:pPr>
          </w:p>
        </w:tc>
        <w:sdt>
          <w:sdtPr>
            <w:rPr>
              <w:rFonts w:cstheme="minorHAnsi"/>
              <w:b/>
              <w:sz w:val="24"/>
              <w:szCs w:val="24"/>
            </w:rPr>
            <w:id w:val="-1751883382"/>
            <w:showingPlcHdr/>
            <w:date>
              <w:dateFormat w:val="M/d/yyyy"/>
              <w:lid w:val="en-US"/>
              <w:storeMappedDataAs w:val="dateTime"/>
              <w:calendar w:val="gregorian"/>
            </w:date>
          </w:sdtPr>
          <w:sdtEndPr/>
          <w:sdtContent>
            <w:tc>
              <w:tcPr>
                <w:tcW w:w="2178" w:type="dxa"/>
              </w:tcPr>
              <w:p w14:paraId="09E8B14C"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AE3CF1" w:rsidRPr="00DC7D29" w14:paraId="569DC156" w14:textId="77777777" w:rsidTr="009D1F3E">
        <w:trPr>
          <w:trHeight w:val="576"/>
          <w:tblHeader/>
        </w:trPr>
        <w:sdt>
          <w:sdtPr>
            <w:rPr>
              <w:rFonts w:cstheme="minorHAnsi"/>
              <w:b/>
              <w:sz w:val="24"/>
              <w:szCs w:val="24"/>
            </w:rPr>
            <w:id w:val="-821270039"/>
            <w:showingPlcHdr/>
          </w:sdtPr>
          <w:sdtEndPr/>
          <w:sdtContent>
            <w:tc>
              <w:tcPr>
                <w:tcW w:w="3978" w:type="dxa"/>
              </w:tcPr>
              <w:p w14:paraId="48FA6021"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846A2E9" w14:textId="77777777" w:rsidR="00AE3CF1" w:rsidRPr="00DC7D29" w:rsidRDefault="00AE3CF1" w:rsidP="009F2FA8">
            <w:pPr>
              <w:spacing w:before="120" w:after="120" w:line="288" w:lineRule="auto"/>
              <w:rPr>
                <w:rFonts w:cstheme="minorHAnsi"/>
                <w:b/>
                <w:sz w:val="24"/>
                <w:szCs w:val="24"/>
              </w:rPr>
            </w:pPr>
          </w:p>
        </w:tc>
        <w:sdt>
          <w:sdtPr>
            <w:rPr>
              <w:rFonts w:cstheme="minorHAnsi"/>
              <w:b/>
              <w:sz w:val="24"/>
              <w:szCs w:val="24"/>
            </w:rPr>
            <w:id w:val="1786006859"/>
            <w:showingPlcHdr/>
            <w:date>
              <w:dateFormat w:val="M/d/yyyy"/>
              <w:lid w:val="en-US"/>
              <w:storeMappedDataAs w:val="dateTime"/>
              <w:calendar w:val="gregorian"/>
            </w:date>
          </w:sdtPr>
          <w:sdtEndPr/>
          <w:sdtContent>
            <w:tc>
              <w:tcPr>
                <w:tcW w:w="2178" w:type="dxa"/>
              </w:tcPr>
              <w:p w14:paraId="58E4A513" w14:textId="77777777" w:rsidR="00AE3CF1" w:rsidRPr="00DC7D29" w:rsidRDefault="00AE3CF1" w:rsidP="009F2FA8">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61A11" w:rsidRPr="00DC7D29" w14:paraId="42437458" w14:textId="77777777" w:rsidTr="009D1F3E">
        <w:trPr>
          <w:trHeight w:val="576"/>
          <w:tblHeader/>
        </w:trPr>
        <w:sdt>
          <w:sdtPr>
            <w:rPr>
              <w:rFonts w:cstheme="minorHAnsi"/>
              <w:b/>
              <w:sz w:val="24"/>
              <w:szCs w:val="24"/>
            </w:rPr>
            <w:id w:val="-1277479425"/>
            <w:showingPlcHdr/>
          </w:sdtPr>
          <w:sdtEndPr/>
          <w:sdtContent>
            <w:tc>
              <w:tcPr>
                <w:tcW w:w="3978" w:type="dxa"/>
              </w:tcPr>
              <w:p w14:paraId="0BFE4850"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528E6DA" w14:textId="77777777" w:rsidR="00D61A11" w:rsidRPr="00DC7D29" w:rsidRDefault="00D61A11" w:rsidP="00552810">
            <w:pPr>
              <w:spacing w:before="120" w:after="120" w:line="288" w:lineRule="auto"/>
              <w:rPr>
                <w:rFonts w:cstheme="minorHAnsi"/>
                <w:b/>
                <w:sz w:val="24"/>
                <w:szCs w:val="24"/>
              </w:rPr>
            </w:pPr>
          </w:p>
        </w:tc>
        <w:sdt>
          <w:sdtPr>
            <w:rPr>
              <w:rFonts w:cstheme="minorHAnsi"/>
              <w:b/>
              <w:sz w:val="24"/>
              <w:szCs w:val="24"/>
            </w:rPr>
            <w:id w:val="-1089697560"/>
            <w:showingPlcHdr/>
            <w:date>
              <w:dateFormat w:val="M/d/yyyy"/>
              <w:lid w:val="en-US"/>
              <w:storeMappedDataAs w:val="dateTime"/>
              <w:calendar w:val="gregorian"/>
            </w:date>
          </w:sdtPr>
          <w:sdtEndPr/>
          <w:sdtContent>
            <w:tc>
              <w:tcPr>
                <w:tcW w:w="2178" w:type="dxa"/>
              </w:tcPr>
              <w:p w14:paraId="7D2CFF1A"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61A11" w:rsidRPr="00DC7D29" w14:paraId="58EDAB39" w14:textId="77777777" w:rsidTr="009D1F3E">
        <w:trPr>
          <w:trHeight w:val="576"/>
          <w:tblHeader/>
        </w:trPr>
        <w:sdt>
          <w:sdtPr>
            <w:rPr>
              <w:rFonts w:cstheme="minorHAnsi"/>
              <w:b/>
              <w:sz w:val="24"/>
              <w:szCs w:val="24"/>
            </w:rPr>
            <w:id w:val="-1842694334"/>
            <w:showingPlcHdr/>
          </w:sdtPr>
          <w:sdtEndPr/>
          <w:sdtContent>
            <w:tc>
              <w:tcPr>
                <w:tcW w:w="3978" w:type="dxa"/>
              </w:tcPr>
              <w:p w14:paraId="30D31D06"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E0D4CD7" w14:textId="77777777" w:rsidR="00D61A11" w:rsidRPr="00DC7D29" w:rsidRDefault="00D61A11" w:rsidP="00552810">
            <w:pPr>
              <w:spacing w:before="120" w:after="120" w:line="288" w:lineRule="auto"/>
              <w:rPr>
                <w:rFonts w:cstheme="minorHAnsi"/>
                <w:b/>
                <w:sz w:val="24"/>
                <w:szCs w:val="24"/>
              </w:rPr>
            </w:pPr>
          </w:p>
        </w:tc>
        <w:sdt>
          <w:sdtPr>
            <w:rPr>
              <w:rFonts w:cstheme="minorHAnsi"/>
              <w:b/>
              <w:sz w:val="24"/>
              <w:szCs w:val="24"/>
            </w:rPr>
            <w:id w:val="-1230147564"/>
            <w:showingPlcHdr/>
            <w:date>
              <w:dateFormat w:val="M/d/yyyy"/>
              <w:lid w:val="en-US"/>
              <w:storeMappedDataAs w:val="dateTime"/>
              <w:calendar w:val="gregorian"/>
            </w:date>
          </w:sdtPr>
          <w:sdtEndPr/>
          <w:sdtContent>
            <w:tc>
              <w:tcPr>
                <w:tcW w:w="2178" w:type="dxa"/>
              </w:tcPr>
              <w:p w14:paraId="4F49AFE4"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61A11" w:rsidRPr="00DC7D29" w14:paraId="5F866704" w14:textId="77777777" w:rsidTr="009D1F3E">
        <w:trPr>
          <w:trHeight w:val="576"/>
          <w:tblHeader/>
        </w:trPr>
        <w:sdt>
          <w:sdtPr>
            <w:rPr>
              <w:rFonts w:cstheme="minorHAnsi"/>
              <w:b/>
              <w:sz w:val="24"/>
              <w:szCs w:val="24"/>
            </w:rPr>
            <w:id w:val="1637678448"/>
            <w:showingPlcHdr/>
          </w:sdtPr>
          <w:sdtEndPr/>
          <w:sdtContent>
            <w:tc>
              <w:tcPr>
                <w:tcW w:w="3978" w:type="dxa"/>
              </w:tcPr>
              <w:p w14:paraId="498C100D"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D509FF0" w14:textId="77777777" w:rsidR="00D61A11" w:rsidRPr="00DC7D29" w:rsidRDefault="00D61A11" w:rsidP="00552810">
            <w:pPr>
              <w:spacing w:before="120" w:after="120" w:line="288" w:lineRule="auto"/>
              <w:rPr>
                <w:rFonts w:cstheme="minorHAnsi"/>
                <w:b/>
                <w:sz w:val="24"/>
                <w:szCs w:val="24"/>
              </w:rPr>
            </w:pPr>
          </w:p>
        </w:tc>
        <w:sdt>
          <w:sdtPr>
            <w:rPr>
              <w:rFonts w:cstheme="minorHAnsi"/>
              <w:b/>
              <w:sz w:val="24"/>
              <w:szCs w:val="24"/>
            </w:rPr>
            <w:id w:val="672845404"/>
            <w:showingPlcHdr/>
            <w:date>
              <w:dateFormat w:val="M/d/yyyy"/>
              <w:lid w:val="en-US"/>
              <w:storeMappedDataAs w:val="dateTime"/>
              <w:calendar w:val="gregorian"/>
            </w:date>
          </w:sdtPr>
          <w:sdtEndPr/>
          <w:sdtContent>
            <w:tc>
              <w:tcPr>
                <w:tcW w:w="2178" w:type="dxa"/>
              </w:tcPr>
              <w:p w14:paraId="39146C2A"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61A11" w:rsidRPr="00DC7D29" w14:paraId="415D1943" w14:textId="77777777" w:rsidTr="009D1F3E">
        <w:trPr>
          <w:trHeight w:val="576"/>
          <w:tblHeader/>
        </w:trPr>
        <w:sdt>
          <w:sdtPr>
            <w:rPr>
              <w:rFonts w:cstheme="minorHAnsi"/>
              <w:b/>
              <w:sz w:val="24"/>
              <w:szCs w:val="24"/>
            </w:rPr>
            <w:id w:val="-60571379"/>
            <w:showingPlcHdr/>
          </w:sdtPr>
          <w:sdtEndPr/>
          <w:sdtContent>
            <w:tc>
              <w:tcPr>
                <w:tcW w:w="3978" w:type="dxa"/>
              </w:tcPr>
              <w:p w14:paraId="422AE38A"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267EBDF" w14:textId="77777777" w:rsidR="00D61A11" w:rsidRPr="00DC7D29" w:rsidRDefault="00D61A11" w:rsidP="00552810">
            <w:pPr>
              <w:spacing w:before="120" w:after="120" w:line="288" w:lineRule="auto"/>
              <w:rPr>
                <w:rFonts w:cstheme="minorHAnsi"/>
                <w:b/>
                <w:sz w:val="24"/>
                <w:szCs w:val="24"/>
              </w:rPr>
            </w:pPr>
          </w:p>
        </w:tc>
        <w:sdt>
          <w:sdtPr>
            <w:rPr>
              <w:rFonts w:cstheme="minorHAnsi"/>
              <w:b/>
              <w:sz w:val="24"/>
              <w:szCs w:val="24"/>
            </w:rPr>
            <w:id w:val="1946501240"/>
            <w:showingPlcHdr/>
            <w:date>
              <w:dateFormat w:val="M/d/yyyy"/>
              <w:lid w:val="en-US"/>
              <w:storeMappedDataAs w:val="dateTime"/>
              <w:calendar w:val="gregorian"/>
            </w:date>
          </w:sdtPr>
          <w:sdtEndPr/>
          <w:sdtContent>
            <w:tc>
              <w:tcPr>
                <w:tcW w:w="2178" w:type="dxa"/>
              </w:tcPr>
              <w:p w14:paraId="67D0691B" w14:textId="77777777" w:rsidR="00D61A11" w:rsidRPr="00DC7D29" w:rsidRDefault="00D61A11" w:rsidP="00552810">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8"/>
      <w:footerReference w:type="default" r:id="rId1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3C22" w14:textId="77777777" w:rsidR="00A06BFA" w:rsidRDefault="00A06BFA" w:rsidP="00E83E8B">
      <w:pPr>
        <w:spacing w:after="0" w:line="240" w:lineRule="auto"/>
      </w:pPr>
      <w:r>
        <w:separator/>
      </w:r>
    </w:p>
  </w:endnote>
  <w:endnote w:type="continuationSeparator" w:id="0">
    <w:p w14:paraId="16768AA2" w14:textId="77777777" w:rsidR="00A06BFA" w:rsidRDefault="00A06BF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53FE7865" w:rsidR="00A06BFA" w:rsidRPr="00AD2BF0" w:rsidRDefault="003828D1">
    <w:pPr>
      <w:pStyle w:val="Footer"/>
      <w:rPr>
        <w:rFonts w:eastAsia="Times New Roman" w:cstheme="minorHAnsi"/>
        <w:color w:val="222222"/>
        <w:sz w:val="20"/>
        <w:szCs w:val="20"/>
        <w:shd w:val="clear" w:color="auto" w:fill="FFFFFF"/>
      </w:rPr>
    </w:pPr>
    <w:r>
      <w:rPr>
        <w:rFonts w:cstheme="minorHAnsi"/>
        <w:color w:val="222222"/>
        <w:sz w:val="20"/>
        <w:szCs w:val="20"/>
      </w:rPr>
      <w:t>Animal Research</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870919">
          <w:rPr>
            <w:rFonts w:cstheme="minorHAnsi"/>
            <w:noProof/>
            <w:sz w:val="18"/>
            <w:szCs w:val="18"/>
          </w:rPr>
          <w:t>4</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4-05-05T00:00:00Z">
              <w:dateFormat w:val="M/d/yyyy"/>
              <w:lid w:val="en-US"/>
              <w:storeMappedDataAs w:val="dateTime"/>
              <w:calendar w:val="gregorian"/>
            </w:date>
          </w:sdtPr>
          <w:sdtEndPr/>
          <w:sdtContent>
            <w:r>
              <w:rPr>
                <w:rFonts w:cstheme="minorHAnsi"/>
                <w:noProof/>
                <w:sz w:val="18"/>
                <w:szCs w:val="18"/>
              </w:rPr>
              <w:t>5/5/2014</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75A52" w14:textId="77777777" w:rsidR="00A06BFA" w:rsidRDefault="00A06BFA" w:rsidP="00E83E8B">
      <w:pPr>
        <w:spacing w:after="0" w:line="240" w:lineRule="auto"/>
      </w:pPr>
      <w:r>
        <w:separator/>
      </w:r>
    </w:p>
  </w:footnote>
  <w:footnote w:type="continuationSeparator" w:id="0">
    <w:p w14:paraId="28B949CB" w14:textId="77777777" w:rsidR="00A06BFA" w:rsidRDefault="00A06BFA"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51D06"/>
    <w:multiLevelType w:val="hybridMultilevel"/>
    <w:tmpl w:val="3C225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nsid w:val="192F5879"/>
    <w:multiLevelType w:val="hybridMultilevel"/>
    <w:tmpl w:val="CF5C9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D12BC"/>
    <w:multiLevelType w:val="hybridMultilevel"/>
    <w:tmpl w:val="A17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F3B72"/>
    <w:multiLevelType w:val="hybridMultilevel"/>
    <w:tmpl w:val="95348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4">
    <w:nsid w:val="3A5470BC"/>
    <w:multiLevelType w:val="hybridMultilevel"/>
    <w:tmpl w:val="0CB03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F74C31"/>
    <w:multiLevelType w:val="hybridMultilevel"/>
    <w:tmpl w:val="7AEC3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E8F19E5"/>
    <w:multiLevelType w:val="hybridMultilevel"/>
    <w:tmpl w:val="369C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CC70E9C"/>
    <w:multiLevelType w:val="hybridMultilevel"/>
    <w:tmpl w:val="5B6E1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9">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BB48DE"/>
    <w:multiLevelType w:val="hybridMultilevel"/>
    <w:tmpl w:val="81ECA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B2385"/>
    <w:multiLevelType w:val="hybridMultilevel"/>
    <w:tmpl w:val="F39659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0"/>
  </w:num>
  <w:num w:numId="3">
    <w:abstractNumId w:val="1"/>
  </w:num>
  <w:num w:numId="4">
    <w:abstractNumId w:val="5"/>
  </w:num>
  <w:num w:numId="5">
    <w:abstractNumId w:val="27"/>
  </w:num>
  <w:num w:numId="6">
    <w:abstractNumId w:val="26"/>
  </w:num>
  <w:num w:numId="7">
    <w:abstractNumId w:val="32"/>
  </w:num>
  <w:num w:numId="8">
    <w:abstractNumId w:val="34"/>
  </w:num>
  <w:num w:numId="9">
    <w:abstractNumId w:val="15"/>
  </w:num>
  <w:num w:numId="10">
    <w:abstractNumId w:val="19"/>
  </w:num>
  <w:num w:numId="11">
    <w:abstractNumId w:val="6"/>
  </w:num>
  <w:num w:numId="12">
    <w:abstractNumId w:val="29"/>
  </w:num>
  <w:num w:numId="13">
    <w:abstractNumId w:val="9"/>
  </w:num>
  <w:num w:numId="14">
    <w:abstractNumId w:val="16"/>
  </w:num>
  <w:num w:numId="15">
    <w:abstractNumId w:val="17"/>
  </w:num>
  <w:num w:numId="16">
    <w:abstractNumId w:val="0"/>
  </w:num>
  <w:num w:numId="17">
    <w:abstractNumId w:val="12"/>
  </w:num>
  <w:num w:numId="18">
    <w:abstractNumId w:val="24"/>
  </w:num>
  <w:num w:numId="19">
    <w:abstractNumId w:val="33"/>
  </w:num>
  <w:num w:numId="20">
    <w:abstractNumId w:val="28"/>
  </w:num>
  <w:num w:numId="21">
    <w:abstractNumId w:val="3"/>
  </w:num>
  <w:num w:numId="22">
    <w:abstractNumId w:val="23"/>
  </w:num>
  <w:num w:numId="23">
    <w:abstractNumId w:val="13"/>
  </w:num>
  <w:num w:numId="24">
    <w:abstractNumId w:val="20"/>
  </w:num>
  <w:num w:numId="25">
    <w:abstractNumId w:val="11"/>
  </w:num>
  <w:num w:numId="26">
    <w:abstractNumId w:val="30"/>
  </w:num>
  <w:num w:numId="27">
    <w:abstractNumId w:val="7"/>
  </w:num>
  <w:num w:numId="28">
    <w:abstractNumId w:val="18"/>
  </w:num>
  <w:num w:numId="29">
    <w:abstractNumId w:val="2"/>
  </w:num>
  <w:num w:numId="30">
    <w:abstractNumId w:val="4"/>
  </w:num>
  <w:num w:numId="31">
    <w:abstractNumId w:val="25"/>
  </w:num>
  <w:num w:numId="32">
    <w:abstractNumId w:val="8"/>
  </w:num>
  <w:num w:numId="33">
    <w:abstractNumId w:val="14"/>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5617D"/>
    <w:rsid w:val="0006104A"/>
    <w:rsid w:val="0006218F"/>
    <w:rsid w:val="000667C6"/>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71722"/>
    <w:rsid w:val="00174DC9"/>
    <w:rsid w:val="00185B20"/>
    <w:rsid w:val="00190943"/>
    <w:rsid w:val="001932B2"/>
    <w:rsid w:val="001A303D"/>
    <w:rsid w:val="001A7807"/>
    <w:rsid w:val="001C2D02"/>
    <w:rsid w:val="001C51C3"/>
    <w:rsid w:val="001C7BB9"/>
    <w:rsid w:val="001D0366"/>
    <w:rsid w:val="001D3E5D"/>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E0D97"/>
    <w:rsid w:val="002E0EF3"/>
    <w:rsid w:val="002E2C06"/>
    <w:rsid w:val="002E3C00"/>
    <w:rsid w:val="00315CB3"/>
    <w:rsid w:val="003467F1"/>
    <w:rsid w:val="00350435"/>
    <w:rsid w:val="00351146"/>
    <w:rsid w:val="00352F12"/>
    <w:rsid w:val="00355D5D"/>
    <w:rsid w:val="00363BCA"/>
    <w:rsid w:val="00366414"/>
    <w:rsid w:val="00366DA6"/>
    <w:rsid w:val="0037554D"/>
    <w:rsid w:val="00377CE8"/>
    <w:rsid w:val="003828D1"/>
    <w:rsid w:val="003864FE"/>
    <w:rsid w:val="003904D4"/>
    <w:rsid w:val="003950E9"/>
    <w:rsid w:val="003A6550"/>
    <w:rsid w:val="003E1CFB"/>
    <w:rsid w:val="003F1BDE"/>
    <w:rsid w:val="003F564F"/>
    <w:rsid w:val="003F5D18"/>
    <w:rsid w:val="00411845"/>
    <w:rsid w:val="00426401"/>
    <w:rsid w:val="00427421"/>
    <w:rsid w:val="00444F63"/>
    <w:rsid w:val="00447272"/>
    <w:rsid w:val="00452088"/>
    <w:rsid w:val="00452BD7"/>
    <w:rsid w:val="00457753"/>
    <w:rsid w:val="00460CD2"/>
    <w:rsid w:val="00463346"/>
    <w:rsid w:val="00470243"/>
    <w:rsid w:val="00471562"/>
    <w:rsid w:val="004929A2"/>
    <w:rsid w:val="00495971"/>
    <w:rsid w:val="004A01C6"/>
    <w:rsid w:val="004A4D32"/>
    <w:rsid w:val="004B29A0"/>
    <w:rsid w:val="004B6C5A"/>
    <w:rsid w:val="004E29EA"/>
    <w:rsid w:val="005042BC"/>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2441"/>
    <w:rsid w:val="006746B1"/>
    <w:rsid w:val="006762A5"/>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50978"/>
    <w:rsid w:val="00866AE7"/>
    <w:rsid w:val="00870919"/>
    <w:rsid w:val="00875CC9"/>
    <w:rsid w:val="008763CA"/>
    <w:rsid w:val="008852B2"/>
    <w:rsid w:val="00891D4B"/>
    <w:rsid w:val="008A2498"/>
    <w:rsid w:val="008B0C3A"/>
    <w:rsid w:val="008B2E11"/>
    <w:rsid w:val="008B70AD"/>
    <w:rsid w:val="008C4AEC"/>
    <w:rsid w:val="008C4B9E"/>
    <w:rsid w:val="008D1C2A"/>
    <w:rsid w:val="008D55CD"/>
    <w:rsid w:val="008F73D6"/>
    <w:rsid w:val="008F750A"/>
    <w:rsid w:val="00905D96"/>
    <w:rsid w:val="00914DCE"/>
    <w:rsid w:val="00917F75"/>
    <w:rsid w:val="0092044F"/>
    <w:rsid w:val="00931907"/>
    <w:rsid w:val="00936C3C"/>
    <w:rsid w:val="009452B5"/>
    <w:rsid w:val="00952B71"/>
    <w:rsid w:val="00956E0B"/>
    <w:rsid w:val="009626FF"/>
    <w:rsid w:val="0096277E"/>
    <w:rsid w:val="009663CE"/>
    <w:rsid w:val="00972CE1"/>
    <w:rsid w:val="00975689"/>
    <w:rsid w:val="00987262"/>
    <w:rsid w:val="00990A9F"/>
    <w:rsid w:val="009B1D3D"/>
    <w:rsid w:val="009D1F3E"/>
    <w:rsid w:val="009D370A"/>
    <w:rsid w:val="009D704C"/>
    <w:rsid w:val="009E4CC7"/>
    <w:rsid w:val="009F5503"/>
    <w:rsid w:val="00A06BFA"/>
    <w:rsid w:val="00A119D1"/>
    <w:rsid w:val="00A4088C"/>
    <w:rsid w:val="00A44604"/>
    <w:rsid w:val="00A52E06"/>
    <w:rsid w:val="00A602D8"/>
    <w:rsid w:val="00A72E8B"/>
    <w:rsid w:val="00A81CBB"/>
    <w:rsid w:val="00A831F0"/>
    <w:rsid w:val="00A874A1"/>
    <w:rsid w:val="00A945E8"/>
    <w:rsid w:val="00AA1E36"/>
    <w:rsid w:val="00AB00C1"/>
    <w:rsid w:val="00AB28AE"/>
    <w:rsid w:val="00AD1D4E"/>
    <w:rsid w:val="00AD2BF0"/>
    <w:rsid w:val="00AE3CF1"/>
    <w:rsid w:val="00AE60DF"/>
    <w:rsid w:val="00AF2415"/>
    <w:rsid w:val="00B0047E"/>
    <w:rsid w:val="00B241B6"/>
    <w:rsid w:val="00B31B2C"/>
    <w:rsid w:val="00B35E5E"/>
    <w:rsid w:val="00B4188D"/>
    <w:rsid w:val="00B50CCA"/>
    <w:rsid w:val="00B5589C"/>
    <w:rsid w:val="00B6326D"/>
    <w:rsid w:val="00B80F97"/>
    <w:rsid w:val="00B90EE3"/>
    <w:rsid w:val="00BD08D6"/>
    <w:rsid w:val="00C05A3E"/>
    <w:rsid w:val="00C060FA"/>
    <w:rsid w:val="00C06795"/>
    <w:rsid w:val="00C13828"/>
    <w:rsid w:val="00C15C75"/>
    <w:rsid w:val="00C406D4"/>
    <w:rsid w:val="00C43B21"/>
    <w:rsid w:val="00C4534E"/>
    <w:rsid w:val="00C56884"/>
    <w:rsid w:val="00C824A0"/>
    <w:rsid w:val="00CA001D"/>
    <w:rsid w:val="00CA1762"/>
    <w:rsid w:val="00CB1A83"/>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51D80"/>
    <w:rsid w:val="00D61A11"/>
    <w:rsid w:val="00D65F7F"/>
    <w:rsid w:val="00D8294B"/>
    <w:rsid w:val="00D97ECA"/>
    <w:rsid w:val="00DA21D9"/>
    <w:rsid w:val="00DB401B"/>
    <w:rsid w:val="00DB469C"/>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2F6F"/>
    <w:rsid w:val="00E7666B"/>
    <w:rsid w:val="00E83E8B"/>
    <w:rsid w:val="00E842B3"/>
    <w:rsid w:val="00EB3D47"/>
    <w:rsid w:val="00EC0841"/>
    <w:rsid w:val="00ED0120"/>
    <w:rsid w:val="00ED793B"/>
    <w:rsid w:val="00EE2DA5"/>
    <w:rsid w:val="00EE6567"/>
    <w:rsid w:val="00F02A25"/>
    <w:rsid w:val="00F0625E"/>
    <w:rsid w:val="00F212B5"/>
    <w:rsid w:val="00F21F0B"/>
    <w:rsid w:val="00F771AB"/>
    <w:rsid w:val="00F909E2"/>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17426577">
      <w:bodyDiv w:val="1"/>
      <w:marLeft w:val="0"/>
      <w:marRight w:val="0"/>
      <w:marTop w:val="0"/>
      <w:marBottom w:val="0"/>
      <w:divBdr>
        <w:top w:val="none" w:sz="0" w:space="0" w:color="auto"/>
        <w:left w:val="none" w:sz="0" w:space="0" w:color="auto"/>
        <w:bottom w:val="none" w:sz="0" w:space="0" w:color="auto"/>
        <w:right w:val="none" w:sz="0" w:space="0" w:color="auto"/>
      </w:divBdr>
      <w:divsChild>
        <w:div w:id="301082085">
          <w:marLeft w:val="0"/>
          <w:marRight w:val="0"/>
          <w:marTop w:val="0"/>
          <w:marBottom w:val="0"/>
          <w:divBdr>
            <w:top w:val="none" w:sz="0" w:space="0" w:color="auto"/>
            <w:left w:val="none" w:sz="0" w:space="0" w:color="auto"/>
            <w:bottom w:val="none" w:sz="0" w:space="0" w:color="auto"/>
            <w:right w:val="none" w:sz="0" w:space="0" w:color="auto"/>
          </w:divBdr>
          <w:divsChild>
            <w:div w:id="1147624939">
              <w:marLeft w:val="0"/>
              <w:marRight w:val="0"/>
              <w:marTop w:val="0"/>
              <w:marBottom w:val="0"/>
              <w:divBdr>
                <w:top w:val="none" w:sz="0" w:space="0" w:color="auto"/>
                <w:left w:val="none" w:sz="0" w:space="0" w:color="auto"/>
                <w:bottom w:val="none" w:sz="0" w:space="0" w:color="auto"/>
                <w:right w:val="none" w:sz="0" w:space="0" w:color="auto"/>
              </w:divBdr>
              <w:divsChild>
                <w:div w:id="113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www.purdue.edu/rem/injury/froi.htm" TargetMode="External"/><Relationship Id="rId2" Type="http://schemas.openxmlformats.org/officeDocument/2006/relationships/numbering" Target="numbering.xml"/><Relationship Id="rId16" Type="http://schemas.openxmlformats.org/officeDocument/2006/relationships/hyperlink" Target="http://www.purdue.edu/rem/hmm/chemwas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purdue.edu/rem/eh/biowaste.htm" TargetMode="Externa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urdue.edu/rem/home/booklets/sharp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03544-4499-41AD-A422-07B9B587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Krajicek, Adam R</cp:lastModifiedBy>
  <cp:revision>4</cp:revision>
  <cp:lastPrinted>2013-01-29T18:52:00Z</cp:lastPrinted>
  <dcterms:created xsi:type="dcterms:W3CDTF">2014-05-05T12:45:00Z</dcterms:created>
  <dcterms:modified xsi:type="dcterms:W3CDTF">2014-05-05T13:47:00Z</dcterms:modified>
</cp:coreProperties>
</file>