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B094" w14:textId="7870C4FF" w:rsidR="00002BC0" w:rsidRPr="00FB5A1E" w:rsidRDefault="00A61459" w:rsidP="00002BC0">
      <w:pPr>
        <w:jc w:val="center"/>
        <w:rPr>
          <w:b/>
          <w:bCs/>
          <w:sz w:val="28"/>
          <w:szCs w:val="28"/>
        </w:rPr>
      </w:pPr>
      <w:r w:rsidRPr="00FB5A1E">
        <w:rPr>
          <w:b/>
          <w:bCs/>
          <w:sz w:val="28"/>
          <w:szCs w:val="28"/>
        </w:rPr>
        <w:t xml:space="preserve">Research Administration </w:t>
      </w:r>
      <w:r w:rsidR="00002BC0" w:rsidRPr="00FB5A1E">
        <w:rPr>
          <w:b/>
          <w:bCs/>
          <w:sz w:val="28"/>
          <w:szCs w:val="28"/>
        </w:rPr>
        <w:t>Project Update</w:t>
      </w:r>
      <w:r w:rsidRPr="00FB5A1E">
        <w:rPr>
          <w:b/>
          <w:bCs/>
          <w:sz w:val="28"/>
          <w:szCs w:val="28"/>
        </w:rPr>
        <w:t>s</w:t>
      </w:r>
    </w:p>
    <w:p w14:paraId="0D8BD050" w14:textId="77777777" w:rsidR="00002BC0" w:rsidRDefault="00002BC0" w:rsidP="004B4AB1"/>
    <w:p w14:paraId="1F1564B7" w14:textId="0765CB72" w:rsidR="004D6EDE" w:rsidRDefault="00DA153F" w:rsidP="004B4AB1">
      <w:r>
        <w:t>The Offices of the Executive Vice President for Research and Partnerships and the CFO/Treasurer are</w:t>
      </w:r>
      <w:r w:rsidR="004D6EDE">
        <w:t xml:space="preserve"> </w:t>
      </w:r>
      <w:r w:rsidR="004D6EDE" w:rsidRPr="009861D9">
        <w:t xml:space="preserve">presently engaged in two significant activities aimed at improving </w:t>
      </w:r>
      <w:r w:rsidRPr="009861D9">
        <w:t xml:space="preserve">research administration related </w:t>
      </w:r>
      <w:r w:rsidR="004D6EDE" w:rsidRPr="009861D9">
        <w:t>process</w:t>
      </w:r>
      <w:r w:rsidR="0054285A" w:rsidRPr="009861D9">
        <w:t>es</w:t>
      </w:r>
      <w:r w:rsidR="004D6EDE" w:rsidRPr="009861D9">
        <w:t>, procedures</w:t>
      </w:r>
      <w:r w:rsidR="00BC09A0">
        <w:t>,</w:t>
      </w:r>
      <w:r w:rsidR="004D6EDE" w:rsidRPr="009861D9">
        <w:t xml:space="preserve"> </w:t>
      </w:r>
      <w:r w:rsidR="004D6EDE">
        <w:t>and systems</w:t>
      </w:r>
      <w:r w:rsidR="00002BC0">
        <w:t>.  Below is a summary of each:</w:t>
      </w:r>
    </w:p>
    <w:p w14:paraId="20DEF492" w14:textId="6DC3AA09" w:rsidR="004D6EDE" w:rsidRDefault="004D6EDE" w:rsidP="004B4AB1"/>
    <w:p w14:paraId="065F193A" w14:textId="0366904C" w:rsidR="00690B2C" w:rsidRPr="00690B2C" w:rsidRDefault="00690B2C" w:rsidP="004B4AB1">
      <w:pPr>
        <w:rPr>
          <w:b/>
          <w:bCs/>
        </w:rPr>
      </w:pPr>
      <w:r w:rsidRPr="00690B2C">
        <w:rPr>
          <w:b/>
          <w:bCs/>
        </w:rPr>
        <w:t>Integrated Research Administration Study (IRAS)</w:t>
      </w:r>
    </w:p>
    <w:p w14:paraId="6A577E22" w14:textId="4DD54135" w:rsidR="00E454DD" w:rsidRDefault="004D6EDE" w:rsidP="004D6EDE">
      <w:pPr>
        <w:pStyle w:val="ListParagraph"/>
        <w:numPr>
          <w:ilvl w:val="0"/>
          <w:numId w:val="1"/>
        </w:numPr>
      </w:pPr>
      <w:r w:rsidRPr="004D6EDE">
        <w:t xml:space="preserve">An Integrated Research </w:t>
      </w:r>
      <w:r w:rsidRPr="009861D9">
        <w:t xml:space="preserve">Administration Study </w:t>
      </w:r>
      <w:r w:rsidR="00690B2C" w:rsidRPr="009861D9">
        <w:t xml:space="preserve">(IRAS) </w:t>
      </w:r>
      <w:r w:rsidR="00BC09A0">
        <w:t>began</w:t>
      </w:r>
      <w:r w:rsidR="00E454DD" w:rsidRPr="009861D9">
        <w:t xml:space="preserve"> in April 2022 and is scheduled to conclude in December 2022.  Fischer and Associates </w:t>
      </w:r>
      <w:r w:rsidR="0054285A" w:rsidRPr="009861D9">
        <w:t xml:space="preserve">is </w:t>
      </w:r>
      <w:r w:rsidR="00BC09A0">
        <w:t>conducting the review</w:t>
      </w:r>
      <w:r w:rsidR="00382E05">
        <w:t>.  IRAS</w:t>
      </w:r>
      <w:r w:rsidR="00E454DD" w:rsidRPr="009861D9">
        <w:t xml:space="preserve"> is a </w:t>
      </w:r>
      <w:r w:rsidR="00BC09A0">
        <w:t>comprehensive</w:t>
      </w:r>
      <w:r w:rsidR="00BC09A0" w:rsidRPr="009861D9">
        <w:t xml:space="preserve"> </w:t>
      </w:r>
      <w:r w:rsidR="00E454DD" w:rsidRPr="009861D9">
        <w:t xml:space="preserve">review of </w:t>
      </w:r>
      <w:r w:rsidRPr="009861D9">
        <w:t xml:space="preserve">research administration processes with the goal of </w:t>
      </w:r>
      <w:r w:rsidR="00BC09A0" w:rsidRPr="009861D9">
        <w:t>i</w:t>
      </w:r>
      <w:r w:rsidR="00BC09A0">
        <w:t xml:space="preserve">mproving </w:t>
      </w:r>
      <w:r w:rsidRPr="009861D9">
        <w:t xml:space="preserve">efficiencies and </w:t>
      </w:r>
      <w:r w:rsidR="00382E05">
        <w:t>recommending</w:t>
      </w:r>
      <w:r w:rsidRPr="009861D9">
        <w:t xml:space="preserve"> </w:t>
      </w:r>
      <w:r w:rsidRPr="004D6EDE">
        <w:t>critical enhancements to drive research productivity.</w:t>
      </w:r>
      <w:r w:rsidR="00553FD3">
        <w:t xml:space="preserve">  </w:t>
      </w:r>
      <w:r w:rsidR="00BC09A0">
        <w:t>Periodic updates will be provided.</w:t>
      </w:r>
    </w:p>
    <w:p w14:paraId="6EA3991B" w14:textId="4780A3B6" w:rsidR="00002BC0" w:rsidRDefault="00002BC0" w:rsidP="00002BC0"/>
    <w:p w14:paraId="2D15578F" w14:textId="0933761C" w:rsidR="00002BC0" w:rsidRDefault="00002BC0" w:rsidP="00386A58">
      <w:pPr>
        <w:ind w:left="1080"/>
      </w:pPr>
      <w:r>
        <w:t>Three Phases have been completed:</w:t>
      </w:r>
    </w:p>
    <w:p w14:paraId="160DC26C" w14:textId="0F718445" w:rsidR="00002BC0" w:rsidRDefault="00002BC0" w:rsidP="00386A58">
      <w:pPr>
        <w:ind w:left="1080"/>
      </w:pPr>
      <w:r>
        <w:rPr>
          <w:noProof/>
        </w:rPr>
        <w:drawing>
          <wp:inline distT="0" distB="0" distL="0" distR="0" wp14:anchorId="4DE716EB" wp14:editId="3741CB7F">
            <wp:extent cx="5315350" cy="2741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78" cy="274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DFF4DE" w14:textId="31E9460E" w:rsidR="004D6EDE" w:rsidRDefault="004D6EDE" w:rsidP="00002BC0">
      <w:pPr>
        <w:pStyle w:val="ListParagraph"/>
        <w:ind w:left="1080"/>
      </w:pPr>
      <w:r w:rsidRPr="004D6EDE">
        <w:t xml:space="preserve">  </w:t>
      </w:r>
      <w:r w:rsidR="00690B2C">
        <w:t>Next steps include:</w:t>
      </w:r>
    </w:p>
    <w:p w14:paraId="5D315443" w14:textId="0ADBCA94" w:rsidR="00690B2C" w:rsidRDefault="00690B2C" w:rsidP="00002BC0">
      <w:pPr>
        <w:pStyle w:val="ListParagraph"/>
        <w:ind w:left="1080"/>
      </w:pPr>
    </w:p>
    <w:p w14:paraId="2CF73C46" w14:textId="5452A368" w:rsidR="00690B2C" w:rsidRDefault="00690B2C" w:rsidP="00002BC0">
      <w:pPr>
        <w:pStyle w:val="ListParagraph"/>
        <w:ind w:left="1080"/>
      </w:pPr>
      <w:r>
        <w:rPr>
          <w:noProof/>
        </w:rPr>
        <w:drawing>
          <wp:inline distT="0" distB="0" distL="0" distR="0" wp14:anchorId="10F3E8BB" wp14:editId="02111520">
            <wp:extent cx="5303520" cy="29832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98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3AF2B" w14:textId="19E4424C" w:rsidR="00690B2C" w:rsidRDefault="00690B2C" w:rsidP="00002BC0">
      <w:pPr>
        <w:pStyle w:val="ListParagraph"/>
        <w:ind w:left="1080"/>
      </w:pPr>
    </w:p>
    <w:p w14:paraId="64D020E5" w14:textId="2DC152F9" w:rsidR="00690B2C" w:rsidRDefault="00690B2C" w:rsidP="00002BC0">
      <w:pPr>
        <w:pStyle w:val="ListParagraph"/>
        <w:ind w:left="1080"/>
      </w:pPr>
    </w:p>
    <w:p w14:paraId="6C98D785" w14:textId="4D62746D" w:rsidR="00690B2C" w:rsidRDefault="00690B2C" w:rsidP="00002BC0">
      <w:pPr>
        <w:pStyle w:val="ListParagraph"/>
        <w:ind w:left="1080"/>
      </w:pPr>
    </w:p>
    <w:p w14:paraId="551955AF" w14:textId="3987002C" w:rsidR="00690B2C" w:rsidRPr="00690B2C" w:rsidRDefault="00690B2C" w:rsidP="00690B2C">
      <w:pPr>
        <w:pStyle w:val="ListParagraph"/>
        <w:ind w:left="0"/>
        <w:rPr>
          <w:b/>
          <w:bCs/>
        </w:rPr>
      </w:pPr>
      <w:r w:rsidRPr="00690B2C">
        <w:rPr>
          <w:b/>
          <w:bCs/>
        </w:rPr>
        <w:lastRenderedPageBreak/>
        <w:t>Electronic Research Administration Systems Replacement R</w:t>
      </w:r>
      <w:r w:rsidR="00C139E0">
        <w:rPr>
          <w:b/>
          <w:bCs/>
        </w:rPr>
        <w:t>equest for Proposal</w:t>
      </w:r>
      <w:r w:rsidR="00527A4D">
        <w:rPr>
          <w:b/>
          <w:bCs/>
        </w:rPr>
        <w:t xml:space="preserve"> </w:t>
      </w:r>
      <w:r w:rsidR="00C139E0">
        <w:rPr>
          <w:b/>
          <w:bCs/>
        </w:rPr>
        <w:t>(RFP)</w:t>
      </w:r>
    </w:p>
    <w:p w14:paraId="7CF13573" w14:textId="360DF57F" w:rsidR="004B4AB1" w:rsidRPr="009861D9" w:rsidRDefault="00002BC0" w:rsidP="007A374B">
      <w:pPr>
        <w:pStyle w:val="ListParagraph"/>
        <w:numPr>
          <w:ilvl w:val="0"/>
          <w:numId w:val="1"/>
        </w:numPr>
      </w:pPr>
      <w:r>
        <w:t>T</w:t>
      </w:r>
      <w:r w:rsidR="004D6EDE" w:rsidRPr="004D6EDE">
        <w:t>he search for a new Electronic Research Administr</w:t>
      </w:r>
      <w:r w:rsidR="00753202">
        <w:t>at</w:t>
      </w:r>
      <w:r w:rsidR="004D6EDE" w:rsidRPr="004D6EDE">
        <w:t>ion system</w:t>
      </w:r>
      <w:r>
        <w:t xml:space="preserve"> </w:t>
      </w:r>
      <w:r w:rsidR="00527A4D">
        <w:t>began earlier this year</w:t>
      </w:r>
      <w:r w:rsidR="00E454DD">
        <w:t xml:space="preserve">. </w:t>
      </w:r>
      <w:r w:rsidR="00527A4D">
        <w:t xml:space="preserve">Purdue released an </w:t>
      </w:r>
      <w:r>
        <w:t xml:space="preserve">RFP </w:t>
      </w:r>
      <w:r w:rsidR="00753202">
        <w:t xml:space="preserve">for the </w:t>
      </w:r>
      <w:r>
        <w:t>i</w:t>
      </w:r>
      <w:r w:rsidRPr="004D6EDE">
        <w:t>ntegrat</w:t>
      </w:r>
      <w:r w:rsidR="00753202">
        <w:t>ion of</w:t>
      </w:r>
      <w:r w:rsidRPr="004D6EDE">
        <w:t xml:space="preserve"> </w:t>
      </w:r>
      <w:r w:rsidR="00527A4D">
        <w:t xml:space="preserve">current </w:t>
      </w:r>
      <w:r w:rsidRPr="004D6EDE">
        <w:t>multiple</w:t>
      </w:r>
      <w:r w:rsidR="00753202">
        <w:t>/</w:t>
      </w:r>
      <w:r w:rsidRPr="004D6EDE">
        <w:t>electronic systems</w:t>
      </w:r>
      <w:r w:rsidR="00753202" w:rsidRPr="009861D9">
        <w:t xml:space="preserve">.  </w:t>
      </w:r>
      <w:r w:rsidR="00E454DD" w:rsidRPr="009861D9">
        <w:t xml:space="preserve">This </w:t>
      </w:r>
      <w:r w:rsidR="00553FD3" w:rsidRPr="009861D9">
        <w:t xml:space="preserve">RFP is a joint effort of </w:t>
      </w:r>
      <w:r w:rsidR="004B4AB1" w:rsidRPr="009861D9">
        <w:t xml:space="preserve">Sponsored Program </w:t>
      </w:r>
      <w:r w:rsidR="00553FD3" w:rsidRPr="009861D9">
        <w:t>Services</w:t>
      </w:r>
      <w:r w:rsidR="000570F8">
        <w:t>,</w:t>
      </w:r>
      <w:r w:rsidR="00553FD3" w:rsidRPr="009861D9">
        <w:t xml:space="preserve"> the CFO, </w:t>
      </w:r>
      <w:r w:rsidR="004B4AB1" w:rsidRPr="009861D9">
        <w:t>the Office of the Executive Vice President of Research</w:t>
      </w:r>
      <w:r w:rsidR="000570F8">
        <w:t>,</w:t>
      </w:r>
      <w:r w:rsidR="00553FD3" w:rsidRPr="009861D9">
        <w:t xml:space="preserve"> and </w:t>
      </w:r>
      <w:r w:rsidR="00753202" w:rsidRPr="009861D9">
        <w:t>In</w:t>
      </w:r>
      <w:r w:rsidR="00A61459" w:rsidRPr="009861D9">
        <w:t>f</w:t>
      </w:r>
      <w:r w:rsidR="00753202" w:rsidRPr="009861D9">
        <w:t>ormation Technology (</w:t>
      </w:r>
      <w:r w:rsidR="00553FD3" w:rsidRPr="009861D9">
        <w:t>ITaP</w:t>
      </w:r>
      <w:r w:rsidR="00753202" w:rsidRPr="009861D9">
        <w:t>)</w:t>
      </w:r>
      <w:r w:rsidR="00553FD3" w:rsidRPr="009861D9">
        <w:t xml:space="preserve">.  </w:t>
      </w:r>
      <w:r w:rsidR="007A374B" w:rsidRPr="009861D9">
        <w:t xml:space="preserve">Proposal requests were sent to </w:t>
      </w:r>
      <w:r w:rsidR="000570F8">
        <w:t>fourteen</w:t>
      </w:r>
      <w:r w:rsidR="007A374B" w:rsidRPr="009861D9">
        <w:t xml:space="preserve"> vendors</w:t>
      </w:r>
      <w:r w:rsidR="0071502B" w:rsidRPr="009861D9">
        <w:t xml:space="preserve"> and </w:t>
      </w:r>
      <w:r w:rsidR="007A374B" w:rsidRPr="009861D9">
        <w:t>six responses were received</w:t>
      </w:r>
      <w:r w:rsidR="0071502B" w:rsidRPr="009861D9">
        <w:t>.   F</w:t>
      </w:r>
      <w:r w:rsidR="007A374B" w:rsidRPr="009861D9">
        <w:t xml:space="preserve">our on-campus vendor demos were </w:t>
      </w:r>
      <w:r w:rsidR="00C13402" w:rsidRPr="009861D9">
        <w:t>held,</w:t>
      </w:r>
      <w:r w:rsidR="007A374B" w:rsidRPr="009861D9">
        <w:t xml:space="preserve"> and two vendors </w:t>
      </w:r>
      <w:r w:rsidR="00991785">
        <w:t xml:space="preserve">will visit campus </w:t>
      </w:r>
      <w:r w:rsidR="00382E05">
        <w:t>in October</w:t>
      </w:r>
      <w:r w:rsidR="00991785">
        <w:t xml:space="preserve"> and </w:t>
      </w:r>
      <w:r w:rsidR="00382E05">
        <w:t>November</w:t>
      </w:r>
      <w:r w:rsidR="007A374B" w:rsidRPr="009861D9">
        <w:t xml:space="preserve"> for </w:t>
      </w:r>
      <w:r w:rsidR="000570F8">
        <w:t xml:space="preserve">additional </w:t>
      </w:r>
      <w:r w:rsidR="007A374B" w:rsidRPr="009861D9">
        <w:t>on-campus demo</w:t>
      </w:r>
      <w:r w:rsidR="00991785">
        <w:t>nstrations to show the capabilities of each system</w:t>
      </w:r>
      <w:r w:rsidR="007A374B" w:rsidRPr="009861D9">
        <w:t xml:space="preserve">.  </w:t>
      </w:r>
      <w:r w:rsidR="00991785">
        <w:t>The goal of this</w:t>
      </w:r>
      <w:r w:rsidR="007A374B" w:rsidRPr="009861D9">
        <w:t xml:space="preserve"> process </w:t>
      </w:r>
      <w:r w:rsidR="00991785">
        <w:t xml:space="preserve">is </w:t>
      </w:r>
      <w:r w:rsidR="00C13402">
        <w:t xml:space="preserve">to </w:t>
      </w:r>
      <w:r w:rsidR="00C13402" w:rsidRPr="009861D9">
        <w:t>identify</w:t>
      </w:r>
      <w:r w:rsidR="00753202" w:rsidRPr="009861D9">
        <w:t xml:space="preserve"> the replacement for</w:t>
      </w:r>
      <w:r w:rsidR="00147A4A">
        <w:t xml:space="preserve"> several internal</w:t>
      </w:r>
      <w:r w:rsidR="004B4AB1" w:rsidRPr="009861D9">
        <w:t xml:space="preserve"> current </w:t>
      </w:r>
      <w:r w:rsidR="006A7D2A" w:rsidRPr="009861D9">
        <w:t>electronic</w:t>
      </w:r>
      <w:r w:rsidR="007A374B" w:rsidRPr="009861D9">
        <w:t xml:space="preserve"> </w:t>
      </w:r>
      <w:r w:rsidR="006A7D2A" w:rsidRPr="009861D9">
        <w:t xml:space="preserve">Research Administration (eRA) </w:t>
      </w:r>
      <w:r w:rsidR="004B4AB1" w:rsidRPr="009861D9">
        <w:t>system</w:t>
      </w:r>
      <w:r w:rsidR="006A7D2A" w:rsidRPr="009861D9">
        <w:t>s</w:t>
      </w:r>
      <w:r w:rsidR="004B4AB1" w:rsidRPr="009861D9">
        <w:t xml:space="preserve"> </w:t>
      </w:r>
      <w:r w:rsidR="00D628C9">
        <w:t xml:space="preserve">The </w:t>
      </w:r>
      <w:r w:rsidR="00991785">
        <w:t xml:space="preserve">anticipated </w:t>
      </w:r>
      <w:r w:rsidR="00100146">
        <w:t xml:space="preserve">implementation to begin </w:t>
      </w:r>
      <w:r w:rsidR="00D628C9">
        <w:t xml:space="preserve">transition to </w:t>
      </w:r>
      <w:r w:rsidR="00100146">
        <w:t xml:space="preserve">a </w:t>
      </w:r>
      <w:r w:rsidR="00D628C9">
        <w:t xml:space="preserve">new eRA system is </w:t>
      </w:r>
      <w:r w:rsidR="00553FD3" w:rsidRPr="009861D9">
        <w:t>Spring 2023</w:t>
      </w:r>
      <w:r w:rsidR="004B4AB1" w:rsidRPr="009861D9">
        <w:t>.</w:t>
      </w:r>
      <w:r w:rsidR="00553FD3" w:rsidRPr="009861D9">
        <w:t xml:space="preserve">  </w:t>
      </w:r>
    </w:p>
    <w:p w14:paraId="4C9C80CD" w14:textId="43EEBC3D" w:rsidR="004B4AB1" w:rsidRPr="009861D9" w:rsidRDefault="004B4AB1" w:rsidP="004B4AB1"/>
    <w:p w14:paraId="4FE96D87" w14:textId="134879A2" w:rsidR="00EE5605" w:rsidRPr="009861D9" w:rsidRDefault="00EE5605" w:rsidP="00EE5605">
      <w:pPr>
        <w:ind w:left="1080"/>
        <w:rPr>
          <w:b/>
          <w:bCs/>
        </w:rPr>
      </w:pPr>
      <w:r w:rsidRPr="009861D9">
        <w:rPr>
          <w:b/>
          <w:bCs/>
        </w:rPr>
        <w:t xml:space="preserve">The functionality the </w:t>
      </w:r>
      <w:r w:rsidR="0075615E" w:rsidRPr="009861D9">
        <w:rPr>
          <w:b/>
          <w:bCs/>
        </w:rPr>
        <w:t xml:space="preserve">new </w:t>
      </w:r>
      <w:r w:rsidR="007A374B" w:rsidRPr="009861D9">
        <w:rPr>
          <w:b/>
          <w:bCs/>
        </w:rPr>
        <w:t>e</w:t>
      </w:r>
      <w:r w:rsidRPr="009861D9">
        <w:rPr>
          <w:b/>
          <w:bCs/>
        </w:rPr>
        <w:t xml:space="preserve">RA </w:t>
      </w:r>
      <w:r w:rsidR="0075615E" w:rsidRPr="009861D9">
        <w:rPr>
          <w:b/>
          <w:bCs/>
        </w:rPr>
        <w:t xml:space="preserve">system </w:t>
      </w:r>
      <w:r w:rsidRPr="009861D9">
        <w:rPr>
          <w:b/>
          <w:bCs/>
        </w:rPr>
        <w:t>includes</w:t>
      </w:r>
      <w:r w:rsidR="008721CF">
        <w:rPr>
          <w:b/>
          <w:bCs/>
        </w:rPr>
        <w:t>,</w:t>
      </w:r>
      <w:r w:rsidRPr="009861D9">
        <w:rPr>
          <w:b/>
          <w:bCs/>
        </w:rPr>
        <w:t xml:space="preserve"> </w:t>
      </w:r>
      <w:r w:rsidR="007A374B" w:rsidRPr="009861D9">
        <w:rPr>
          <w:b/>
          <w:bCs/>
        </w:rPr>
        <w:t>but is not limited to</w:t>
      </w:r>
      <w:r w:rsidR="00443C5C">
        <w:rPr>
          <w:b/>
          <w:bCs/>
        </w:rPr>
        <w:t xml:space="preserve"> the</w:t>
      </w:r>
      <w:r w:rsidR="007A374B" w:rsidRPr="009861D9">
        <w:rPr>
          <w:b/>
          <w:bCs/>
        </w:rPr>
        <w:t xml:space="preserve"> </w:t>
      </w:r>
      <w:r w:rsidRPr="009861D9">
        <w:rPr>
          <w:b/>
          <w:bCs/>
        </w:rPr>
        <w:t>processing, management</w:t>
      </w:r>
      <w:r w:rsidR="008721CF">
        <w:rPr>
          <w:b/>
          <w:bCs/>
        </w:rPr>
        <w:t>,</w:t>
      </w:r>
      <w:r w:rsidRPr="009861D9">
        <w:rPr>
          <w:b/>
          <w:bCs/>
        </w:rPr>
        <w:t xml:space="preserve"> and oversight of:</w:t>
      </w:r>
    </w:p>
    <w:p w14:paraId="491BA51D" w14:textId="15E292DE" w:rsidR="00EE5605" w:rsidRPr="009861D9" w:rsidRDefault="00EE5605" w:rsidP="00EE5605">
      <w:pPr>
        <w:pStyle w:val="ListParagraph"/>
        <w:numPr>
          <w:ilvl w:val="0"/>
          <w:numId w:val="2"/>
        </w:numPr>
        <w:ind w:left="2520"/>
        <w:rPr>
          <w:rFonts w:eastAsia="Times New Roman"/>
        </w:rPr>
      </w:pPr>
      <w:r w:rsidRPr="009861D9">
        <w:rPr>
          <w:rFonts w:eastAsia="Times New Roman"/>
        </w:rPr>
        <w:t>Proposal processing</w:t>
      </w:r>
      <w:r w:rsidR="00B260F7">
        <w:rPr>
          <w:rFonts w:eastAsia="Times New Roman"/>
        </w:rPr>
        <w:t xml:space="preserve"> (</w:t>
      </w:r>
      <w:r w:rsidR="00C13402">
        <w:rPr>
          <w:rFonts w:eastAsia="Times New Roman"/>
        </w:rPr>
        <w:t>e.g.,</w:t>
      </w:r>
      <w:r w:rsidR="00B260F7">
        <w:rPr>
          <w:rFonts w:eastAsia="Times New Roman"/>
        </w:rPr>
        <w:t xml:space="preserve"> proposal submission, award establishment)</w:t>
      </w:r>
    </w:p>
    <w:p w14:paraId="449A37E8" w14:textId="77777777" w:rsidR="00EE5605" w:rsidRPr="009861D9" w:rsidRDefault="00EE5605" w:rsidP="00EE5605">
      <w:pPr>
        <w:pStyle w:val="ListParagraph"/>
        <w:numPr>
          <w:ilvl w:val="0"/>
          <w:numId w:val="2"/>
        </w:numPr>
        <w:ind w:left="2520"/>
        <w:rPr>
          <w:rFonts w:eastAsia="Times New Roman"/>
        </w:rPr>
      </w:pPr>
      <w:r w:rsidRPr="009861D9">
        <w:rPr>
          <w:rFonts w:eastAsia="Times New Roman"/>
        </w:rPr>
        <w:t>Negotiation/Agreement management</w:t>
      </w:r>
    </w:p>
    <w:p w14:paraId="6B5F881C" w14:textId="77777777" w:rsidR="00EE5605" w:rsidRPr="009861D9" w:rsidRDefault="00EE5605" w:rsidP="00EE5605">
      <w:pPr>
        <w:pStyle w:val="ListParagraph"/>
        <w:numPr>
          <w:ilvl w:val="0"/>
          <w:numId w:val="2"/>
        </w:numPr>
        <w:ind w:left="2520"/>
        <w:rPr>
          <w:rFonts w:eastAsia="Times New Roman"/>
        </w:rPr>
      </w:pPr>
      <w:r w:rsidRPr="009861D9">
        <w:rPr>
          <w:rFonts w:eastAsia="Times New Roman"/>
        </w:rPr>
        <w:t>Award tracking and monitoring</w:t>
      </w:r>
    </w:p>
    <w:p w14:paraId="4AF5894A" w14:textId="25202910" w:rsidR="00EE5605" w:rsidRPr="009861D9" w:rsidRDefault="00B260F7" w:rsidP="00EE5605">
      <w:pPr>
        <w:pStyle w:val="ListParagraph"/>
        <w:numPr>
          <w:ilvl w:val="0"/>
          <w:numId w:val="2"/>
        </w:numPr>
        <w:ind w:left="2520"/>
        <w:rPr>
          <w:rFonts w:eastAsia="Times New Roman"/>
        </w:rPr>
      </w:pPr>
      <w:r>
        <w:rPr>
          <w:rFonts w:eastAsia="Times New Roman"/>
        </w:rPr>
        <w:t>Human Research Protections and IRB submissions</w:t>
      </w:r>
      <w:r w:rsidRPr="009861D9">
        <w:rPr>
          <w:rFonts w:eastAsia="Times New Roman"/>
        </w:rPr>
        <w:t xml:space="preserve"> </w:t>
      </w:r>
    </w:p>
    <w:p w14:paraId="48A0C41C" w14:textId="2CF0FEF7" w:rsidR="00EE5605" w:rsidRDefault="00EE5605" w:rsidP="00EE5605">
      <w:pPr>
        <w:pStyle w:val="ListParagraph"/>
        <w:numPr>
          <w:ilvl w:val="0"/>
          <w:numId w:val="2"/>
        </w:numPr>
        <w:ind w:left="2520"/>
        <w:rPr>
          <w:rFonts w:eastAsia="Times New Roman"/>
        </w:rPr>
      </w:pPr>
      <w:r w:rsidRPr="009861D9">
        <w:rPr>
          <w:rFonts w:eastAsia="Times New Roman"/>
        </w:rPr>
        <w:t>I</w:t>
      </w:r>
      <w:r w:rsidR="00147A4A">
        <w:rPr>
          <w:rFonts w:eastAsia="Times New Roman"/>
        </w:rPr>
        <w:t xml:space="preserve">nstitutional </w:t>
      </w:r>
      <w:r w:rsidRPr="009861D9">
        <w:rPr>
          <w:rFonts w:eastAsia="Times New Roman"/>
        </w:rPr>
        <w:t>A</w:t>
      </w:r>
      <w:r w:rsidR="00147A4A">
        <w:rPr>
          <w:rFonts w:eastAsia="Times New Roman"/>
        </w:rPr>
        <w:t xml:space="preserve">nimal </w:t>
      </w:r>
      <w:r w:rsidRPr="009861D9">
        <w:rPr>
          <w:rFonts w:eastAsia="Times New Roman"/>
        </w:rPr>
        <w:t>C</w:t>
      </w:r>
      <w:r w:rsidR="00147A4A">
        <w:rPr>
          <w:rFonts w:eastAsia="Times New Roman"/>
        </w:rPr>
        <w:t xml:space="preserve">are and </w:t>
      </w:r>
      <w:r w:rsidRPr="009861D9">
        <w:rPr>
          <w:rFonts w:eastAsia="Times New Roman"/>
        </w:rPr>
        <w:t>U</w:t>
      </w:r>
      <w:r w:rsidR="00147A4A">
        <w:rPr>
          <w:rFonts w:eastAsia="Times New Roman"/>
        </w:rPr>
        <w:t>se Committee protocol submissions</w:t>
      </w:r>
    </w:p>
    <w:p w14:paraId="26EE0E6C" w14:textId="06FE077D" w:rsidR="00147A4A" w:rsidRPr="009861D9" w:rsidRDefault="00147A4A" w:rsidP="00EE5605">
      <w:pPr>
        <w:pStyle w:val="ListParagraph"/>
        <w:numPr>
          <w:ilvl w:val="0"/>
          <w:numId w:val="2"/>
        </w:numPr>
        <w:ind w:left="2520"/>
        <w:rPr>
          <w:rFonts w:eastAsia="Times New Roman"/>
        </w:rPr>
      </w:pPr>
      <w:r>
        <w:rPr>
          <w:rFonts w:eastAsia="Times New Roman"/>
        </w:rPr>
        <w:t>Institutional Biosafety Committee (IBC) protocols</w:t>
      </w:r>
    </w:p>
    <w:p w14:paraId="6B868088" w14:textId="34720EBE" w:rsidR="00147A4A" w:rsidRDefault="00147A4A" w:rsidP="00EE5605">
      <w:pPr>
        <w:pStyle w:val="ListParagraph"/>
        <w:numPr>
          <w:ilvl w:val="0"/>
          <w:numId w:val="2"/>
        </w:numPr>
        <w:ind w:left="2520"/>
        <w:rPr>
          <w:rFonts w:eastAsia="Times New Roman"/>
        </w:rPr>
      </w:pPr>
      <w:r>
        <w:rPr>
          <w:rFonts w:eastAsia="Times New Roman"/>
        </w:rPr>
        <w:t xml:space="preserve">Conflicts of Commitment, Outside Activities </w:t>
      </w:r>
    </w:p>
    <w:p w14:paraId="5A90330C" w14:textId="664B22E4" w:rsidR="00EE5605" w:rsidRPr="009861D9" w:rsidRDefault="00147A4A" w:rsidP="00EE5605">
      <w:pPr>
        <w:pStyle w:val="ListParagraph"/>
        <w:numPr>
          <w:ilvl w:val="0"/>
          <w:numId w:val="2"/>
        </w:numPr>
        <w:ind w:left="2520"/>
        <w:rPr>
          <w:rFonts w:eastAsia="Times New Roman"/>
        </w:rPr>
      </w:pPr>
      <w:r>
        <w:rPr>
          <w:rFonts w:eastAsia="Times New Roman"/>
        </w:rPr>
        <w:t>Financial Conflicts of Interest</w:t>
      </w:r>
    </w:p>
    <w:p w14:paraId="69033B22" w14:textId="5C8A4237" w:rsidR="00EE5605" w:rsidRPr="009861D9" w:rsidRDefault="00EE5605" w:rsidP="00EE5605">
      <w:pPr>
        <w:pStyle w:val="ListParagraph"/>
        <w:numPr>
          <w:ilvl w:val="0"/>
          <w:numId w:val="2"/>
        </w:numPr>
        <w:ind w:left="2520"/>
        <w:rPr>
          <w:rFonts w:eastAsia="Times New Roman"/>
        </w:rPr>
      </w:pPr>
      <w:r w:rsidRPr="009861D9">
        <w:rPr>
          <w:rFonts w:eastAsia="Times New Roman"/>
        </w:rPr>
        <w:t>Export Control</w:t>
      </w:r>
      <w:r w:rsidR="00147A4A">
        <w:rPr>
          <w:rFonts w:eastAsia="Times New Roman"/>
        </w:rPr>
        <w:t>s</w:t>
      </w:r>
    </w:p>
    <w:p w14:paraId="3C007725" w14:textId="77777777" w:rsidR="00EE5605" w:rsidRPr="009861D9" w:rsidRDefault="00EE5605" w:rsidP="00EE5605">
      <w:pPr>
        <w:ind w:left="1080"/>
        <w:rPr>
          <w:b/>
          <w:bCs/>
        </w:rPr>
      </w:pPr>
    </w:p>
    <w:p w14:paraId="78E7A094" w14:textId="6B2C46E6" w:rsidR="00EE5605" w:rsidRPr="009861D9" w:rsidRDefault="00EE5605" w:rsidP="00EE5605">
      <w:pPr>
        <w:ind w:left="1080"/>
      </w:pPr>
      <w:r w:rsidRPr="009861D9">
        <w:rPr>
          <w:b/>
          <w:bCs/>
        </w:rPr>
        <w:t xml:space="preserve">Typical </w:t>
      </w:r>
      <w:r w:rsidR="00D628C9">
        <w:rPr>
          <w:b/>
          <w:bCs/>
        </w:rPr>
        <w:t>f</w:t>
      </w:r>
      <w:r w:rsidRPr="009861D9">
        <w:rPr>
          <w:b/>
          <w:bCs/>
        </w:rPr>
        <w:t xml:space="preserve">eatures of </w:t>
      </w:r>
      <w:r w:rsidR="00993677">
        <w:rPr>
          <w:b/>
          <w:bCs/>
        </w:rPr>
        <w:t>an</w:t>
      </w:r>
      <w:r w:rsidR="00993677" w:rsidRPr="009861D9">
        <w:rPr>
          <w:b/>
          <w:bCs/>
        </w:rPr>
        <w:t xml:space="preserve"> </w:t>
      </w:r>
      <w:r w:rsidR="00993677">
        <w:rPr>
          <w:b/>
          <w:bCs/>
        </w:rPr>
        <w:t>e</w:t>
      </w:r>
      <w:r w:rsidRPr="009861D9">
        <w:rPr>
          <w:b/>
          <w:bCs/>
        </w:rPr>
        <w:t>RA system include:</w:t>
      </w:r>
    </w:p>
    <w:p w14:paraId="69083B4F" w14:textId="77777777" w:rsidR="00EE5605" w:rsidRPr="009861D9" w:rsidRDefault="00EE5605" w:rsidP="00EE5605">
      <w:pPr>
        <w:numPr>
          <w:ilvl w:val="1"/>
          <w:numId w:val="3"/>
        </w:numPr>
        <w:tabs>
          <w:tab w:val="clear" w:pos="1440"/>
          <w:tab w:val="num" w:pos="2520"/>
        </w:tabs>
        <w:ind w:left="2520"/>
        <w:rPr>
          <w:rFonts w:eastAsia="Times New Roman"/>
        </w:rPr>
      </w:pPr>
      <w:r w:rsidRPr="009861D9">
        <w:rPr>
          <w:rFonts w:eastAsia="Times New Roman"/>
        </w:rPr>
        <w:t>Automation of research administration business processes</w:t>
      </w:r>
    </w:p>
    <w:p w14:paraId="7BD8351D" w14:textId="77777777" w:rsidR="00EE5605" w:rsidRPr="009861D9" w:rsidRDefault="00EE5605" w:rsidP="00EE5605">
      <w:pPr>
        <w:numPr>
          <w:ilvl w:val="2"/>
          <w:numId w:val="4"/>
        </w:numPr>
        <w:ind w:left="3240"/>
        <w:rPr>
          <w:rFonts w:eastAsia="Times New Roman"/>
        </w:rPr>
      </w:pPr>
      <w:r w:rsidRPr="009861D9">
        <w:rPr>
          <w:rFonts w:eastAsia="Times New Roman"/>
        </w:rPr>
        <w:t xml:space="preserve">Submission of proposals </w:t>
      </w:r>
    </w:p>
    <w:p w14:paraId="307A9D8F" w14:textId="77777777" w:rsidR="00EE5605" w:rsidRPr="009861D9" w:rsidRDefault="00EE5605" w:rsidP="00EE5605">
      <w:pPr>
        <w:numPr>
          <w:ilvl w:val="2"/>
          <w:numId w:val="4"/>
        </w:numPr>
        <w:ind w:left="3240"/>
        <w:rPr>
          <w:rFonts w:eastAsia="Times New Roman"/>
        </w:rPr>
      </w:pPr>
      <w:r w:rsidRPr="009861D9">
        <w:rPr>
          <w:rFonts w:eastAsia="Times New Roman"/>
        </w:rPr>
        <w:t>Budget development</w:t>
      </w:r>
    </w:p>
    <w:p w14:paraId="6AFB52E2" w14:textId="1CA8E516" w:rsidR="00EE5605" w:rsidRPr="009861D9" w:rsidRDefault="00147A4A" w:rsidP="00EE5605">
      <w:pPr>
        <w:numPr>
          <w:ilvl w:val="2"/>
          <w:numId w:val="4"/>
        </w:numPr>
        <w:ind w:left="3240"/>
        <w:rPr>
          <w:rFonts w:eastAsia="Times New Roman"/>
        </w:rPr>
      </w:pPr>
      <w:r>
        <w:rPr>
          <w:rFonts w:eastAsia="Times New Roman"/>
        </w:rPr>
        <w:t>Regulatory p</w:t>
      </w:r>
      <w:r w:rsidRPr="009861D9">
        <w:rPr>
          <w:rFonts w:eastAsia="Times New Roman"/>
        </w:rPr>
        <w:t xml:space="preserve">rotocol </w:t>
      </w:r>
      <w:r w:rsidR="00EE5605" w:rsidRPr="009861D9">
        <w:rPr>
          <w:rFonts w:eastAsia="Times New Roman"/>
        </w:rPr>
        <w:t>development and review</w:t>
      </w:r>
    </w:p>
    <w:p w14:paraId="2835B291" w14:textId="77777777" w:rsidR="00EE5605" w:rsidRPr="009861D9" w:rsidRDefault="00EE5605" w:rsidP="00EE5605">
      <w:pPr>
        <w:numPr>
          <w:ilvl w:val="1"/>
          <w:numId w:val="3"/>
        </w:numPr>
        <w:tabs>
          <w:tab w:val="clear" w:pos="1440"/>
          <w:tab w:val="num" w:pos="2520"/>
        </w:tabs>
        <w:ind w:left="2520"/>
        <w:rPr>
          <w:rFonts w:eastAsia="Times New Roman"/>
        </w:rPr>
      </w:pPr>
      <w:r w:rsidRPr="009861D9">
        <w:rPr>
          <w:rFonts w:eastAsia="Times New Roman"/>
        </w:rPr>
        <w:t>Authentication control and single data entry point</w:t>
      </w:r>
    </w:p>
    <w:p w14:paraId="2F1024F7" w14:textId="77777777" w:rsidR="00EE5605" w:rsidRPr="009861D9" w:rsidRDefault="00EE5605" w:rsidP="00EE5605">
      <w:pPr>
        <w:numPr>
          <w:ilvl w:val="1"/>
          <w:numId w:val="3"/>
        </w:numPr>
        <w:tabs>
          <w:tab w:val="clear" w:pos="1440"/>
          <w:tab w:val="num" w:pos="2520"/>
        </w:tabs>
        <w:ind w:left="2520"/>
        <w:rPr>
          <w:rFonts w:eastAsia="Times New Roman"/>
        </w:rPr>
      </w:pPr>
      <w:r w:rsidRPr="009861D9">
        <w:rPr>
          <w:rFonts w:eastAsia="Times New Roman"/>
        </w:rPr>
        <w:t>Automation of workflow, routing, approvals and communication</w:t>
      </w:r>
    </w:p>
    <w:p w14:paraId="1966EBBA" w14:textId="1CAC19CC" w:rsidR="00EE5605" w:rsidRPr="009861D9" w:rsidRDefault="00EE5605" w:rsidP="00EE5605">
      <w:pPr>
        <w:pStyle w:val="ListParagraph"/>
        <w:numPr>
          <w:ilvl w:val="1"/>
          <w:numId w:val="3"/>
        </w:numPr>
        <w:tabs>
          <w:tab w:val="clear" w:pos="1440"/>
          <w:tab w:val="num" w:pos="2520"/>
        </w:tabs>
        <w:ind w:left="2520"/>
        <w:rPr>
          <w:rFonts w:eastAsia="Times New Roman"/>
        </w:rPr>
      </w:pPr>
      <w:r w:rsidRPr="009861D9">
        <w:rPr>
          <w:rFonts w:eastAsia="Times New Roman"/>
        </w:rPr>
        <w:t>Personal Dashboard/Inbox to consolidate all “to-do” activities</w:t>
      </w:r>
    </w:p>
    <w:p w14:paraId="1C6E09CD" w14:textId="77777777" w:rsidR="00EE5605" w:rsidRPr="009861D9" w:rsidRDefault="00EE5605" w:rsidP="00EE5605">
      <w:pPr>
        <w:pStyle w:val="ListParagraph"/>
        <w:numPr>
          <w:ilvl w:val="1"/>
          <w:numId w:val="3"/>
        </w:numPr>
        <w:tabs>
          <w:tab w:val="clear" w:pos="1440"/>
          <w:tab w:val="num" w:pos="2520"/>
        </w:tabs>
        <w:ind w:left="2520"/>
        <w:rPr>
          <w:rFonts w:eastAsia="Times New Roman"/>
        </w:rPr>
      </w:pPr>
      <w:r w:rsidRPr="009861D9">
        <w:rPr>
          <w:rFonts w:eastAsia="Times New Roman"/>
        </w:rPr>
        <w:t>Email notification with direct link to the system</w:t>
      </w:r>
    </w:p>
    <w:p w14:paraId="447ABF09" w14:textId="77777777" w:rsidR="00EE5605" w:rsidRPr="009861D9" w:rsidRDefault="00EE5605" w:rsidP="00EE5605">
      <w:pPr>
        <w:numPr>
          <w:ilvl w:val="1"/>
          <w:numId w:val="3"/>
        </w:numPr>
        <w:tabs>
          <w:tab w:val="clear" w:pos="1440"/>
          <w:tab w:val="num" w:pos="2520"/>
        </w:tabs>
        <w:ind w:left="2520"/>
        <w:rPr>
          <w:rFonts w:eastAsia="Times New Roman"/>
        </w:rPr>
      </w:pPr>
      <w:r w:rsidRPr="009861D9">
        <w:rPr>
          <w:rFonts w:eastAsia="Times New Roman"/>
        </w:rPr>
        <w:t>Storage of electronic data and exchange of information</w:t>
      </w:r>
    </w:p>
    <w:p w14:paraId="33FF93A3" w14:textId="77777777" w:rsidR="00EE5605" w:rsidRPr="009861D9" w:rsidRDefault="00EE5605" w:rsidP="00EE5605">
      <w:pPr>
        <w:numPr>
          <w:ilvl w:val="1"/>
          <w:numId w:val="5"/>
        </w:numPr>
        <w:tabs>
          <w:tab w:val="clear" w:pos="1440"/>
          <w:tab w:val="num" w:pos="2520"/>
        </w:tabs>
        <w:ind w:left="2520"/>
        <w:rPr>
          <w:rFonts w:eastAsia="Times New Roman"/>
        </w:rPr>
      </w:pPr>
      <w:r w:rsidRPr="009861D9">
        <w:rPr>
          <w:rFonts w:eastAsia="Times New Roman"/>
        </w:rPr>
        <w:t>Reporting/analysis/compliance monitoring</w:t>
      </w:r>
    </w:p>
    <w:p w14:paraId="38B84295" w14:textId="77777777" w:rsidR="00EE5605" w:rsidRPr="009861D9" w:rsidRDefault="00EE5605" w:rsidP="004B4AB1"/>
    <w:p w14:paraId="15E05D82" w14:textId="1E5EA501" w:rsidR="0075615E" w:rsidRPr="009861D9" w:rsidRDefault="006A7D2A" w:rsidP="00386A58">
      <w:pPr>
        <w:ind w:left="1080"/>
        <w:rPr>
          <w:b/>
          <w:bCs/>
        </w:rPr>
      </w:pPr>
      <w:r w:rsidRPr="009861D9">
        <w:t>The working group/</w:t>
      </w:r>
      <w:r w:rsidR="006D4D33" w:rsidRPr="009861D9">
        <w:t>RFP</w:t>
      </w:r>
      <w:r w:rsidRPr="009861D9">
        <w:t xml:space="preserve"> team</w:t>
      </w:r>
      <w:r w:rsidR="004B4AB1" w:rsidRPr="009861D9">
        <w:t xml:space="preserve"> w</w:t>
      </w:r>
      <w:r w:rsidR="00753202" w:rsidRPr="009861D9">
        <w:t xml:space="preserve">ill be inviting </w:t>
      </w:r>
      <w:r w:rsidR="004B4AB1" w:rsidRPr="009861D9">
        <w:t xml:space="preserve">Purdue faculty and staff </w:t>
      </w:r>
      <w:r w:rsidR="006D4D33" w:rsidRPr="009861D9">
        <w:t xml:space="preserve">who utilize the current systems </w:t>
      </w:r>
      <w:r w:rsidR="004B4AB1" w:rsidRPr="009861D9">
        <w:t xml:space="preserve">to attend the </w:t>
      </w:r>
      <w:r w:rsidR="006D4D33" w:rsidRPr="009861D9">
        <w:t xml:space="preserve">upcoming </w:t>
      </w:r>
      <w:r w:rsidR="004B4AB1" w:rsidRPr="009861D9">
        <w:t>vendor demos.</w:t>
      </w:r>
      <w:r w:rsidR="006D4D33" w:rsidRPr="009861D9">
        <w:t xml:space="preserve">  </w:t>
      </w:r>
      <w:r w:rsidR="00386A58" w:rsidRPr="009861D9">
        <w:rPr>
          <w:b/>
          <w:bCs/>
        </w:rPr>
        <w:t xml:space="preserve">  </w:t>
      </w:r>
    </w:p>
    <w:p w14:paraId="72367DC8" w14:textId="77777777" w:rsidR="0075615E" w:rsidRPr="009861D9" w:rsidRDefault="0075615E" w:rsidP="00386A58">
      <w:pPr>
        <w:ind w:left="1080"/>
        <w:rPr>
          <w:b/>
          <w:bCs/>
        </w:rPr>
      </w:pPr>
    </w:p>
    <w:p w14:paraId="628192A0" w14:textId="3BF4D7A1" w:rsidR="004B4AB1" w:rsidRPr="009861D9" w:rsidRDefault="008B1457" w:rsidP="00386A58">
      <w:pPr>
        <w:ind w:left="1080"/>
        <w:rPr>
          <w:b/>
          <w:bCs/>
        </w:rPr>
      </w:pPr>
      <w:r>
        <w:rPr>
          <w:b/>
          <w:bCs/>
        </w:rPr>
        <w:t>Anyone</w:t>
      </w:r>
      <w:r w:rsidR="00991785">
        <w:rPr>
          <w:b/>
          <w:bCs/>
        </w:rPr>
        <w:t xml:space="preserve"> </w:t>
      </w:r>
      <w:r w:rsidR="00FA3524">
        <w:rPr>
          <w:b/>
          <w:bCs/>
        </w:rPr>
        <w:t xml:space="preserve">in the Purdue community who is </w:t>
      </w:r>
      <w:r w:rsidR="00386A58" w:rsidRPr="009861D9">
        <w:rPr>
          <w:b/>
          <w:bCs/>
        </w:rPr>
        <w:t>interested in attending the</w:t>
      </w:r>
      <w:r w:rsidR="00A61459" w:rsidRPr="009861D9">
        <w:rPr>
          <w:b/>
          <w:bCs/>
        </w:rPr>
        <w:t xml:space="preserve"> vendor</w:t>
      </w:r>
      <w:r w:rsidR="00386A58" w:rsidRPr="009861D9">
        <w:rPr>
          <w:b/>
          <w:bCs/>
        </w:rPr>
        <w:t xml:space="preserve"> </w:t>
      </w:r>
      <w:r w:rsidR="00991785">
        <w:rPr>
          <w:b/>
          <w:bCs/>
        </w:rPr>
        <w:t xml:space="preserve">demonstrations or who have </w:t>
      </w:r>
      <w:r w:rsidR="00C13402">
        <w:rPr>
          <w:b/>
          <w:bCs/>
        </w:rPr>
        <w:t>general questions</w:t>
      </w:r>
      <w:r w:rsidR="00991785">
        <w:rPr>
          <w:b/>
          <w:bCs/>
        </w:rPr>
        <w:t xml:space="preserve"> about the process should</w:t>
      </w:r>
      <w:r w:rsidR="00386A58" w:rsidRPr="009861D9">
        <w:rPr>
          <w:b/>
          <w:bCs/>
        </w:rPr>
        <w:t xml:space="preserve"> contact Kim </w:t>
      </w:r>
      <w:r w:rsidR="00C13402" w:rsidRPr="009861D9">
        <w:rPr>
          <w:b/>
          <w:bCs/>
        </w:rPr>
        <w:t>Gascho,</w:t>
      </w:r>
      <w:r w:rsidR="00DE35B2">
        <w:rPr>
          <w:b/>
          <w:bCs/>
        </w:rPr>
        <w:t xml:space="preserve"> </w:t>
      </w:r>
      <w:r>
        <w:rPr>
          <w:b/>
          <w:bCs/>
        </w:rPr>
        <w:t xml:space="preserve">Lead IT Business Analyst, Sponsored </w:t>
      </w:r>
      <w:r w:rsidRPr="00443C5C">
        <w:rPr>
          <w:b/>
          <w:bCs/>
        </w:rPr>
        <w:t>Program Services</w:t>
      </w:r>
      <w:r w:rsidR="00DE35B2" w:rsidRPr="00443C5C">
        <w:rPr>
          <w:b/>
          <w:bCs/>
        </w:rPr>
        <w:t xml:space="preserve"> </w:t>
      </w:r>
      <w:r w:rsidR="00386A58" w:rsidRPr="00443C5C">
        <w:rPr>
          <w:b/>
          <w:bCs/>
        </w:rPr>
        <w:t>(</w:t>
      </w:r>
      <w:hyperlink r:id="rId7" w:history="1">
        <w:r w:rsidR="00386A58" w:rsidRPr="00443C5C">
          <w:rPr>
            <w:rStyle w:val="Hyperlink"/>
            <w:b/>
            <w:bCs/>
            <w:color w:val="auto"/>
          </w:rPr>
          <w:t>kgascho@purdue.edu</w:t>
        </w:r>
      </w:hyperlink>
      <w:r w:rsidR="00386A58" w:rsidRPr="00443C5C">
        <w:rPr>
          <w:b/>
          <w:bCs/>
        </w:rPr>
        <w:t>)</w:t>
      </w:r>
      <w:r w:rsidR="00C16E5E" w:rsidRPr="00443C5C">
        <w:rPr>
          <w:b/>
          <w:bCs/>
        </w:rPr>
        <w:t xml:space="preserve">. </w:t>
      </w:r>
      <w:r w:rsidR="00991785" w:rsidRPr="00443C5C">
        <w:rPr>
          <w:b/>
          <w:bCs/>
        </w:rPr>
        <w:t>Once dates are</w:t>
      </w:r>
      <w:r w:rsidR="00991785">
        <w:rPr>
          <w:b/>
          <w:bCs/>
        </w:rPr>
        <w:t xml:space="preserve"> finalized, the group will extend an invite</w:t>
      </w:r>
      <w:r w:rsidR="00386A58" w:rsidRPr="009861D9">
        <w:rPr>
          <w:b/>
          <w:bCs/>
        </w:rPr>
        <w:t xml:space="preserve"> </w:t>
      </w:r>
      <w:r w:rsidR="00991785">
        <w:rPr>
          <w:b/>
          <w:bCs/>
        </w:rPr>
        <w:t xml:space="preserve">for attendees to join in-person or by virtual means. </w:t>
      </w:r>
    </w:p>
    <w:p w14:paraId="1FE2DCD8" w14:textId="77777777" w:rsidR="004B4AB1" w:rsidRPr="009861D9" w:rsidRDefault="004B4AB1" w:rsidP="004B4AB1"/>
    <w:p w14:paraId="72044170" w14:textId="787F8802" w:rsidR="0084073E" w:rsidRDefault="0084073E" w:rsidP="004B4AB1"/>
    <w:sectPr w:rsidR="0084073E" w:rsidSect="00690B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652"/>
    <w:multiLevelType w:val="hybridMultilevel"/>
    <w:tmpl w:val="F44A6BAE"/>
    <w:lvl w:ilvl="0" w:tplc="7F9AA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F4C3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05E60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140AE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D2A0E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C9831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88CF7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504AD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94EC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A1A40BF"/>
    <w:multiLevelType w:val="hybridMultilevel"/>
    <w:tmpl w:val="AEE03A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E3B3B"/>
    <w:multiLevelType w:val="hybridMultilevel"/>
    <w:tmpl w:val="A42CBAD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4ED21C28"/>
    <w:multiLevelType w:val="hybridMultilevel"/>
    <w:tmpl w:val="C0C03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5F20BC"/>
    <w:multiLevelType w:val="hybridMultilevel"/>
    <w:tmpl w:val="C772F9A4"/>
    <w:lvl w:ilvl="0" w:tplc="610C7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CC0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4F236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04AE6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C00D2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31CAA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447F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1216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D5299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519319738">
    <w:abstractNumId w:val="1"/>
  </w:num>
  <w:num w:numId="2" w16cid:durableId="543105077">
    <w:abstractNumId w:val="3"/>
  </w:num>
  <w:num w:numId="3" w16cid:durableId="2044208033">
    <w:abstractNumId w:val="4"/>
  </w:num>
  <w:num w:numId="4" w16cid:durableId="1125974275">
    <w:abstractNumId w:val="2"/>
  </w:num>
  <w:num w:numId="5" w16cid:durableId="1595284070">
    <w:abstractNumId w:val="0"/>
  </w:num>
  <w:num w:numId="6" w16cid:durableId="127477675">
    <w:abstractNumId w:val="3"/>
  </w:num>
  <w:num w:numId="7" w16cid:durableId="203406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1"/>
    <w:rsid w:val="00002BC0"/>
    <w:rsid w:val="000570F8"/>
    <w:rsid w:val="00100146"/>
    <w:rsid w:val="00147A4A"/>
    <w:rsid w:val="00160634"/>
    <w:rsid w:val="00382E05"/>
    <w:rsid w:val="00386A58"/>
    <w:rsid w:val="00443C5C"/>
    <w:rsid w:val="004B4AB1"/>
    <w:rsid w:val="004D6EDE"/>
    <w:rsid w:val="00527A4D"/>
    <w:rsid w:val="0054285A"/>
    <w:rsid w:val="00553FD3"/>
    <w:rsid w:val="00690B2C"/>
    <w:rsid w:val="006A7D2A"/>
    <w:rsid w:val="006D4D33"/>
    <w:rsid w:val="0071502B"/>
    <w:rsid w:val="00753202"/>
    <w:rsid w:val="0075615E"/>
    <w:rsid w:val="007A374B"/>
    <w:rsid w:val="0084073E"/>
    <w:rsid w:val="0086396C"/>
    <w:rsid w:val="008721CF"/>
    <w:rsid w:val="008B1457"/>
    <w:rsid w:val="009443FB"/>
    <w:rsid w:val="009861D9"/>
    <w:rsid w:val="00991785"/>
    <w:rsid w:val="00993677"/>
    <w:rsid w:val="00A5703E"/>
    <w:rsid w:val="00A61459"/>
    <w:rsid w:val="00B260F7"/>
    <w:rsid w:val="00B325E6"/>
    <w:rsid w:val="00B5232B"/>
    <w:rsid w:val="00BC09A0"/>
    <w:rsid w:val="00C13402"/>
    <w:rsid w:val="00C139E0"/>
    <w:rsid w:val="00C16E5E"/>
    <w:rsid w:val="00D628C9"/>
    <w:rsid w:val="00DA153F"/>
    <w:rsid w:val="00DA4EAE"/>
    <w:rsid w:val="00DE35B2"/>
    <w:rsid w:val="00E454DD"/>
    <w:rsid w:val="00EE5605"/>
    <w:rsid w:val="00F47D6D"/>
    <w:rsid w:val="00FA3524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141E"/>
  <w15:chartTrackingRefBased/>
  <w15:docId w15:val="{37FCAFE0-FF57-4338-A5A2-5A98E050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A7D2A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2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3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6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35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3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7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7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ascho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Gascho, Kimberley E</dc:creator>
  <cp:keywords/>
  <dc:description/>
  <cp:lastModifiedBy>Warren, Bruce E</cp:lastModifiedBy>
  <cp:revision>2</cp:revision>
  <cp:lastPrinted>2022-10-10T12:26:00Z</cp:lastPrinted>
  <dcterms:created xsi:type="dcterms:W3CDTF">2022-10-13T20:05:00Z</dcterms:created>
  <dcterms:modified xsi:type="dcterms:W3CDTF">2022-10-13T20:05:00Z</dcterms:modified>
</cp:coreProperties>
</file>