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65B" w:rsidRDefault="00892A5C">
      <w:pPr>
        <w:rPr>
          <w:rFonts w:ascii="Times New Roman" w:hAnsi="Times New Roman" w:cs="Times New Roman"/>
          <w:b/>
        </w:rPr>
      </w:pPr>
      <w:r w:rsidRPr="001317D2">
        <w:rPr>
          <w:rFonts w:ascii="Times New Roman" w:hAnsi="Times New Roman" w:cs="Times New Roman"/>
          <w:b/>
        </w:rPr>
        <w:t xml:space="preserve">Sponsored Program Services </w:t>
      </w:r>
      <w:r w:rsidR="00AE6CEF">
        <w:rPr>
          <w:rFonts w:ascii="Times New Roman" w:hAnsi="Times New Roman" w:cs="Times New Roman"/>
          <w:b/>
        </w:rPr>
        <w:t>continues</w:t>
      </w:r>
      <w:r w:rsidR="00D10B2D">
        <w:rPr>
          <w:rFonts w:ascii="Times New Roman" w:hAnsi="Times New Roman" w:cs="Times New Roman"/>
          <w:b/>
        </w:rPr>
        <w:t xml:space="preserve"> a five part mini-course on Cost Transfers.</w:t>
      </w:r>
    </w:p>
    <w:p w:rsidR="00AE6CEF" w:rsidRDefault="00D10B2D">
      <w:pPr>
        <w:rPr>
          <w:rFonts w:ascii="Times New Roman" w:hAnsi="Times New Roman" w:cs="Times New Roman"/>
        </w:rPr>
      </w:pPr>
      <w:r>
        <w:rPr>
          <w:rFonts w:ascii="Times New Roman" w:hAnsi="Times New Roman" w:cs="Times New Roman"/>
        </w:rPr>
        <w:t xml:space="preserve">With </w:t>
      </w:r>
      <w:r w:rsidR="004830EC">
        <w:rPr>
          <w:rFonts w:ascii="Times New Roman" w:hAnsi="Times New Roman" w:cs="Times New Roman"/>
        </w:rPr>
        <w:t>nearly</w:t>
      </w:r>
      <w:r w:rsidR="009E7FE9">
        <w:rPr>
          <w:rFonts w:ascii="Times New Roman" w:hAnsi="Times New Roman" w:cs="Times New Roman"/>
        </w:rPr>
        <w:t xml:space="preserve"> $30</w:t>
      </w:r>
      <w:r>
        <w:rPr>
          <w:rFonts w:ascii="Times New Roman" w:hAnsi="Times New Roman" w:cs="Times New Roman"/>
        </w:rPr>
        <w:t>0 million of sponsored research expenditures annually charged to the federal government, Purdue has the obligation of ensuring that expenses are charged appropriately.  To assist staff with being mindful of this fiscal responsibility, SPS has created a five part mini-course focused on Cost Transfers.</w:t>
      </w:r>
      <w:r w:rsidR="00C9120F">
        <w:rPr>
          <w:rFonts w:ascii="Times New Roman" w:hAnsi="Times New Roman" w:cs="Times New Roman"/>
        </w:rPr>
        <w:t xml:space="preserve">  </w:t>
      </w:r>
      <w:r w:rsidR="00FD2A2F">
        <w:rPr>
          <w:rFonts w:ascii="Times New Roman" w:hAnsi="Times New Roman" w:cs="Times New Roman"/>
        </w:rPr>
        <w:t xml:space="preserve">Continue reading for Part </w:t>
      </w:r>
      <w:r w:rsidR="0054677F">
        <w:rPr>
          <w:rFonts w:ascii="Times New Roman" w:hAnsi="Times New Roman" w:cs="Times New Roman"/>
        </w:rPr>
        <w:t>4</w:t>
      </w:r>
      <w:r w:rsidR="00FD2A2F">
        <w:rPr>
          <w:rFonts w:ascii="Times New Roman" w:hAnsi="Times New Roman" w:cs="Times New Roman"/>
        </w:rPr>
        <w:t>.</w:t>
      </w:r>
    </w:p>
    <w:p w:rsidR="00F800A8" w:rsidRPr="00F800A8" w:rsidRDefault="00F800A8">
      <w:pPr>
        <w:rPr>
          <w:rFonts w:ascii="Times New Roman" w:hAnsi="Times New Roman" w:cs="Times New Roman"/>
          <w:u w:val="single"/>
        </w:rPr>
      </w:pPr>
      <w:r w:rsidRPr="00F800A8">
        <w:rPr>
          <w:rFonts w:ascii="Times New Roman" w:hAnsi="Times New Roman" w:cs="Times New Roman"/>
          <w:u w:val="single"/>
        </w:rPr>
        <w:t>PART 4:</w:t>
      </w:r>
    </w:p>
    <w:p w:rsidR="003D6A75" w:rsidRDefault="002055C5">
      <w:pPr>
        <w:rPr>
          <w:rFonts w:ascii="Times New Roman" w:hAnsi="Times New Roman" w:cs="Times New Roman"/>
        </w:rPr>
      </w:pPr>
      <w:r>
        <w:rPr>
          <w:rFonts w:ascii="Times New Roman" w:hAnsi="Times New Roman" w:cs="Times New Roman"/>
          <w:u w:val="single"/>
        </w:rPr>
        <w:t>Conditions</w:t>
      </w:r>
      <w:r w:rsidR="003D6A75" w:rsidRPr="00AE6CEF">
        <w:rPr>
          <w:rFonts w:ascii="Times New Roman" w:hAnsi="Times New Roman" w:cs="Times New Roman"/>
        </w:rPr>
        <w:t xml:space="preserve">:  </w:t>
      </w:r>
      <w:r>
        <w:rPr>
          <w:rFonts w:ascii="Times New Roman" w:hAnsi="Times New Roman" w:cs="Times New Roman"/>
        </w:rPr>
        <w:t>After an expense has been recorded in the financial ledger, you may transfer it with appropriate documentation and a complete explanation only under the following conditions:</w:t>
      </w:r>
    </w:p>
    <w:p w:rsidR="002055C5" w:rsidRDefault="002055C5">
      <w:pPr>
        <w:rPr>
          <w:rFonts w:ascii="Times New Roman" w:hAnsi="Times New Roman" w:cs="Times New Roman"/>
          <w:i/>
        </w:rPr>
      </w:pPr>
      <w:r>
        <w:rPr>
          <w:rFonts w:ascii="Times New Roman" w:hAnsi="Times New Roman" w:cs="Times New Roman"/>
          <w:i/>
        </w:rPr>
        <w:t>Conditions that apply to all funds:</w:t>
      </w:r>
    </w:p>
    <w:p w:rsidR="002055C5" w:rsidRPr="002055C5" w:rsidRDefault="002055C5" w:rsidP="002055C5">
      <w:pPr>
        <w:pStyle w:val="ListParagraph"/>
        <w:numPr>
          <w:ilvl w:val="0"/>
          <w:numId w:val="1"/>
        </w:numPr>
        <w:rPr>
          <w:rFonts w:ascii="Times New Roman" w:hAnsi="Times New Roman" w:cs="Times New Roman"/>
        </w:rPr>
      </w:pPr>
      <w:r w:rsidRPr="002055C5">
        <w:rPr>
          <w:rFonts w:ascii="Times New Roman" w:hAnsi="Times New Roman" w:cs="Times New Roman"/>
        </w:rPr>
        <w:t>You are correcting an error, such as when you discover an incorrect accounting distribution</w:t>
      </w:r>
    </w:p>
    <w:p w:rsidR="002055C5" w:rsidRDefault="002055C5" w:rsidP="002055C5">
      <w:pPr>
        <w:rPr>
          <w:rFonts w:ascii="Times New Roman" w:hAnsi="Times New Roman" w:cs="Times New Roman"/>
          <w:i/>
        </w:rPr>
      </w:pPr>
      <w:r>
        <w:rPr>
          <w:rFonts w:ascii="Times New Roman" w:hAnsi="Times New Roman" w:cs="Times New Roman"/>
          <w:i/>
        </w:rPr>
        <w:t>Conditions that apply to sponsored project funds only:</w:t>
      </w:r>
    </w:p>
    <w:p w:rsidR="002055C5" w:rsidRPr="002055C5" w:rsidRDefault="002055C5" w:rsidP="002055C5">
      <w:pPr>
        <w:pStyle w:val="ListParagraph"/>
        <w:numPr>
          <w:ilvl w:val="0"/>
          <w:numId w:val="1"/>
        </w:numPr>
        <w:rPr>
          <w:rFonts w:ascii="Times New Roman" w:hAnsi="Times New Roman" w:cs="Times New Roman"/>
          <w:i/>
        </w:rPr>
      </w:pPr>
      <w:r>
        <w:rPr>
          <w:rFonts w:ascii="Times New Roman" w:hAnsi="Times New Roman" w:cs="Times New Roman"/>
        </w:rPr>
        <w:t>Transfers between internal orders of the same grant</w:t>
      </w:r>
    </w:p>
    <w:p w:rsidR="002055C5" w:rsidRPr="002055C5" w:rsidRDefault="002055C5" w:rsidP="002055C5">
      <w:pPr>
        <w:pStyle w:val="ListParagraph"/>
        <w:numPr>
          <w:ilvl w:val="0"/>
          <w:numId w:val="1"/>
        </w:numPr>
        <w:rPr>
          <w:rFonts w:ascii="Times New Roman" w:hAnsi="Times New Roman" w:cs="Times New Roman"/>
          <w:i/>
        </w:rPr>
      </w:pPr>
      <w:r>
        <w:rPr>
          <w:rFonts w:ascii="Times New Roman" w:hAnsi="Times New Roman" w:cs="Times New Roman"/>
        </w:rPr>
        <w:t>Costs benefitting more than one sponsored project</w:t>
      </w:r>
    </w:p>
    <w:p w:rsidR="002055C5" w:rsidRPr="008D2F04" w:rsidRDefault="002055C5" w:rsidP="002055C5">
      <w:pPr>
        <w:pStyle w:val="ListParagraph"/>
        <w:numPr>
          <w:ilvl w:val="0"/>
          <w:numId w:val="1"/>
        </w:numPr>
        <w:rPr>
          <w:rFonts w:ascii="Times New Roman" w:hAnsi="Times New Roman" w:cs="Times New Roman"/>
          <w:i/>
        </w:rPr>
      </w:pPr>
      <w:r>
        <w:rPr>
          <w:rFonts w:ascii="Times New Roman" w:hAnsi="Times New Roman" w:cs="Times New Roman"/>
        </w:rPr>
        <w:t>Transfer of costs from one funding source to another may be proper for closely related work supported by more than one funding source.  Keep in mind that frequent, late, and inadequately supported transfers raise serious questions about the appropriateness of the transfer(s) and the overall reliability of the University’s accounting systems and internal controls.</w:t>
      </w:r>
      <w:r w:rsidR="008D2F04">
        <w:rPr>
          <w:rFonts w:ascii="Times New Roman" w:hAnsi="Times New Roman" w:cs="Times New Roman"/>
        </w:rPr>
        <w:t xml:space="preserve">  This is of heightened concern when occurring on grants with unexpended balances or when a charged is moved from a grant with an overdraft to another sponsored project.</w:t>
      </w:r>
    </w:p>
    <w:p w:rsidR="008D2F04" w:rsidRPr="008D2F04" w:rsidRDefault="008D2F04" w:rsidP="002055C5">
      <w:pPr>
        <w:pStyle w:val="ListParagraph"/>
        <w:numPr>
          <w:ilvl w:val="0"/>
          <w:numId w:val="1"/>
        </w:numPr>
        <w:rPr>
          <w:rFonts w:ascii="Times New Roman" w:hAnsi="Times New Roman" w:cs="Times New Roman"/>
          <w:i/>
        </w:rPr>
      </w:pPr>
      <w:r>
        <w:rPr>
          <w:rFonts w:ascii="Times New Roman" w:hAnsi="Times New Roman" w:cs="Times New Roman"/>
        </w:rPr>
        <w:t>Transfer of expenses on a project that could not be established because of contract negotiations.</w:t>
      </w:r>
    </w:p>
    <w:p w:rsidR="008D2F04" w:rsidRDefault="008D2F04" w:rsidP="008D2F04">
      <w:pPr>
        <w:rPr>
          <w:rFonts w:ascii="Times New Roman" w:hAnsi="Times New Roman" w:cs="Times New Roman"/>
          <w:u w:val="single"/>
        </w:rPr>
      </w:pPr>
      <w:r>
        <w:rPr>
          <w:rFonts w:ascii="Times New Roman" w:hAnsi="Times New Roman" w:cs="Times New Roman"/>
          <w:u w:val="single"/>
        </w:rPr>
        <w:t>Ways to Avoid Cost Transfers:</w:t>
      </w:r>
    </w:p>
    <w:p w:rsidR="008D2F04" w:rsidRDefault="008D2F04" w:rsidP="008D2F04">
      <w:pPr>
        <w:rPr>
          <w:rFonts w:ascii="Times New Roman" w:hAnsi="Times New Roman" w:cs="Times New Roman"/>
        </w:rPr>
      </w:pPr>
      <w:r>
        <w:rPr>
          <w:rFonts w:ascii="Times New Roman" w:hAnsi="Times New Roman" w:cs="Times New Roman"/>
          <w:i/>
        </w:rPr>
        <w:t>Plan Ahead</w:t>
      </w:r>
    </w:p>
    <w:p w:rsidR="0098143E" w:rsidRPr="002C68DB" w:rsidRDefault="008D2F04" w:rsidP="002C68DB">
      <w:pPr>
        <w:rPr>
          <w:rFonts w:ascii="Times New Roman" w:hAnsi="Times New Roman" w:cs="Times New Roman"/>
        </w:rPr>
      </w:pPr>
      <w:r>
        <w:tab/>
      </w:r>
      <w:r w:rsidRPr="002C68DB">
        <w:rPr>
          <w:rFonts w:ascii="Times New Roman" w:hAnsi="Times New Roman" w:cs="Times New Roman"/>
        </w:rPr>
        <w:t xml:space="preserve">If you </w:t>
      </w:r>
      <w:r w:rsidRPr="00BD594A">
        <w:rPr>
          <w:rFonts w:ascii="Times New Roman" w:hAnsi="Times New Roman" w:cs="Times New Roman"/>
        </w:rPr>
        <w:t>manage a contract, grant, or cooperative agreement, anticipate the receipt of the award.  Consider reque</w:t>
      </w:r>
      <w:r w:rsidR="0098143E" w:rsidRPr="00BD594A">
        <w:rPr>
          <w:rFonts w:ascii="Times New Roman" w:hAnsi="Times New Roman" w:cs="Times New Roman"/>
        </w:rPr>
        <w:t>sting a Notice to Proceed (NTP).  Under certain conditions, a PI may request an account prior to the actual receipt of the award. If a sponsor has approved funding, but is slow in sending the official award documentation, the business office may submit a Notice</w:t>
      </w:r>
      <w:r w:rsidR="00BD594A" w:rsidRPr="00BD594A">
        <w:rPr>
          <w:rFonts w:ascii="Times New Roman" w:hAnsi="Times New Roman" w:cs="Times New Roman"/>
        </w:rPr>
        <w:t xml:space="preserve"> </w:t>
      </w:r>
      <w:r w:rsidR="0098143E" w:rsidRPr="00BD594A">
        <w:rPr>
          <w:rFonts w:ascii="Times New Roman" w:hAnsi="Times New Roman" w:cs="Times New Roman"/>
        </w:rPr>
        <w:t>to</w:t>
      </w:r>
      <w:r w:rsidR="00BD594A" w:rsidRPr="00BD594A">
        <w:rPr>
          <w:rFonts w:ascii="Times New Roman" w:hAnsi="Times New Roman" w:cs="Times New Roman"/>
        </w:rPr>
        <w:t xml:space="preserve"> </w:t>
      </w:r>
      <w:r w:rsidR="0098143E" w:rsidRPr="00BD594A">
        <w:rPr>
          <w:rFonts w:ascii="Times New Roman" w:hAnsi="Times New Roman" w:cs="Times New Roman"/>
        </w:rPr>
        <w:t>Proceed request to SPS. In this case, a University</w:t>
      </w:r>
      <w:r w:rsidR="00BD594A" w:rsidRPr="00BD594A">
        <w:rPr>
          <w:rFonts w:ascii="Times New Roman" w:hAnsi="Times New Roman" w:cs="Times New Roman"/>
        </w:rPr>
        <w:t xml:space="preserve"> </w:t>
      </w:r>
      <w:r w:rsidR="0098143E" w:rsidRPr="00BD594A">
        <w:rPr>
          <w:rFonts w:ascii="Times New Roman" w:hAnsi="Times New Roman" w:cs="Times New Roman"/>
        </w:rPr>
        <w:t>backed NTP will be set up. If funds are not awarded, the University will be responsible</w:t>
      </w:r>
      <w:r w:rsidR="0098143E" w:rsidRPr="002C68DB">
        <w:rPr>
          <w:rFonts w:ascii="Times New Roman" w:hAnsi="Times New Roman" w:cs="Times New Roman"/>
        </w:rPr>
        <w:t xml:space="preserve"> for covering any costs. </w:t>
      </w:r>
    </w:p>
    <w:p w:rsidR="008D2F04" w:rsidRDefault="0098143E" w:rsidP="002C68DB">
      <w:pPr>
        <w:rPr>
          <w:rFonts w:ascii="Times New Roman" w:hAnsi="Times New Roman" w:cs="Times New Roman"/>
        </w:rPr>
      </w:pPr>
      <w:r w:rsidRPr="002C68DB">
        <w:rPr>
          <w:rFonts w:ascii="Times New Roman" w:hAnsi="Times New Roman" w:cs="Times New Roman"/>
        </w:rPr>
        <w:t>If a PI wants an account created prior to the actual award and there is no documentation or correspondence from the sponsor indicating the approved funding, then a department</w:t>
      </w:r>
      <w:r w:rsidR="00BD594A">
        <w:rPr>
          <w:rFonts w:ascii="Times New Roman" w:hAnsi="Times New Roman" w:cs="Times New Roman"/>
        </w:rPr>
        <w:t xml:space="preserve"> </w:t>
      </w:r>
      <w:r w:rsidRPr="002C68DB">
        <w:rPr>
          <w:rFonts w:ascii="Times New Roman" w:hAnsi="Times New Roman" w:cs="Times New Roman"/>
        </w:rPr>
        <w:t>backed NTP can be set up. It is important to note that if funds are not awarded, the PI's department or school will be responsible for covering any costs.</w:t>
      </w:r>
    </w:p>
    <w:p w:rsidR="002C68DB" w:rsidRDefault="002C68DB" w:rsidP="002C68DB">
      <w:pPr>
        <w:rPr>
          <w:rFonts w:ascii="Times New Roman" w:hAnsi="Times New Roman" w:cs="Times New Roman"/>
          <w:i/>
        </w:rPr>
      </w:pPr>
      <w:r>
        <w:rPr>
          <w:rFonts w:ascii="Times New Roman" w:hAnsi="Times New Roman" w:cs="Times New Roman"/>
          <w:i/>
        </w:rPr>
        <w:t>Strengthen financial management control procedures</w:t>
      </w:r>
    </w:p>
    <w:p w:rsidR="002C68DB" w:rsidRDefault="002C68DB" w:rsidP="002C68DB">
      <w:pPr>
        <w:pStyle w:val="ListParagraph"/>
        <w:numPr>
          <w:ilvl w:val="0"/>
          <w:numId w:val="2"/>
        </w:numPr>
        <w:rPr>
          <w:rFonts w:ascii="Times New Roman" w:hAnsi="Times New Roman" w:cs="Times New Roman"/>
        </w:rPr>
      </w:pPr>
      <w:r>
        <w:rPr>
          <w:rFonts w:ascii="Times New Roman" w:hAnsi="Times New Roman" w:cs="Times New Roman"/>
        </w:rPr>
        <w:t>Ensure that review procedures are being met; make sure that payroll transactions are properly authorized, completed and documented.</w:t>
      </w:r>
    </w:p>
    <w:p w:rsidR="002C68DB" w:rsidRDefault="002C68DB" w:rsidP="002C68DB">
      <w:pPr>
        <w:pStyle w:val="ListParagraph"/>
        <w:numPr>
          <w:ilvl w:val="0"/>
          <w:numId w:val="2"/>
        </w:numPr>
        <w:rPr>
          <w:rFonts w:ascii="Times New Roman" w:hAnsi="Times New Roman" w:cs="Times New Roman"/>
        </w:rPr>
      </w:pPr>
      <w:r>
        <w:rPr>
          <w:rFonts w:ascii="Times New Roman" w:hAnsi="Times New Roman" w:cs="Times New Roman"/>
        </w:rPr>
        <w:lastRenderedPageBreak/>
        <w:t>Review and reconcile FSSR reports promptly to ensure that charges are accurate, complete, and applicable.</w:t>
      </w:r>
    </w:p>
    <w:p w:rsidR="002C68DB" w:rsidRDefault="002C68DB" w:rsidP="002C68DB">
      <w:pPr>
        <w:pStyle w:val="ListParagraph"/>
        <w:numPr>
          <w:ilvl w:val="0"/>
          <w:numId w:val="2"/>
        </w:numPr>
        <w:rPr>
          <w:rFonts w:ascii="Times New Roman" w:hAnsi="Times New Roman" w:cs="Times New Roman"/>
        </w:rPr>
      </w:pPr>
      <w:r>
        <w:rPr>
          <w:rFonts w:ascii="Times New Roman" w:hAnsi="Times New Roman" w:cs="Times New Roman"/>
        </w:rPr>
        <w:t>Monitor budgets as submitted to the sponsor and compare them to actual charges, along with pending and projected expenses.</w:t>
      </w:r>
    </w:p>
    <w:p w:rsidR="002C68DB" w:rsidRDefault="002C68DB" w:rsidP="002C68DB">
      <w:pPr>
        <w:pStyle w:val="ListParagraph"/>
        <w:numPr>
          <w:ilvl w:val="0"/>
          <w:numId w:val="2"/>
        </w:numPr>
        <w:rPr>
          <w:rFonts w:ascii="Times New Roman" w:hAnsi="Times New Roman" w:cs="Times New Roman"/>
        </w:rPr>
      </w:pPr>
      <w:r>
        <w:rPr>
          <w:rFonts w:ascii="Times New Roman" w:hAnsi="Times New Roman" w:cs="Times New Roman"/>
        </w:rPr>
        <w:t>When the award is received, familiarize yourself with any special terms and conditions.  Ensure you note any expenses that the sponsor deems as unallowable.</w:t>
      </w:r>
    </w:p>
    <w:p w:rsidR="002C68DB" w:rsidRDefault="002C68DB" w:rsidP="002C68DB">
      <w:pPr>
        <w:pStyle w:val="ListParagraph"/>
        <w:numPr>
          <w:ilvl w:val="0"/>
          <w:numId w:val="2"/>
        </w:numPr>
        <w:rPr>
          <w:rFonts w:ascii="Times New Roman" w:hAnsi="Times New Roman" w:cs="Times New Roman"/>
        </w:rPr>
      </w:pPr>
      <w:r>
        <w:rPr>
          <w:rFonts w:ascii="Times New Roman" w:hAnsi="Times New Roman" w:cs="Times New Roman"/>
        </w:rPr>
        <w:t>Toward the end of a project, request timely extensions from the sponsor if the work is not complete and you have the need to utilize any remaining available funds to complete the work.</w:t>
      </w:r>
    </w:p>
    <w:p w:rsidR="002C68DB" w:rsidRDefault="002C68DB" w:rsidP="002C68DB">
      <w:pPr>
        <w:rPr>
          <w:rFonts w:ascii="Times New Roman" w:hAnsi="Times New Roman" w:cs="Times New Roman"/>
        </w:rPr>
      </w:pPr>
      <w:r>
        <w:rPr>
          <w:rFonts w:ascii="Times New Roman" w:hAnsi="Times New Roman" w:cs="Times New Roman"/>
          <w:u w:val="single"/>
        </w:rPr>
        <w:t>High Risk:</w:t>
      </w:r>
    </w:p>
    <w:p w:rsidR="002C68DB" w:rsidRDefault="002C68DB" w:rsidP="002C68DB">
      <w:pPr>
        <w:rPr>
          <w:rFonts w:ascii="Times New Roman" w:hAnsi="Times New Roman" w:cs="Times New Roman"/>
        </w:rPr>
      </w:pPr>
      <w:r>
        <w:rPr>
          <w:rFonts w:ascii="Times New Roman" w:hAnsi="Times New Roman" w:cs="Times New Roman"/>
        </w:rPr>
        <w:t>If the cost transfer involves a sponsored project and meets any of the following criteria, it is considered high risk and will undergo heightened scrutiny:</w:t>
      </w:r>
    </w:p>
    <w:p w:rsidR="002C68DB" w:rsidRDefault="002C68DB" w:rsidP="002C68DB">
      <w:pPr>
        <w:pStyle w:val="ListParagraph"/>
        <w:numPr>
          <w:ilvl w:val="0"/>
          <w:numId w:val="3"/>
        </w:numPr>
        <w:rPr>
          <w:rFonts w:ascii="Times New Roman" w:hAnsi="Times New Roman" w:cs="Times New Roman"/>
        </w:rPr>
      </w:pPr>
      <w:r>
        <w:rPr>
          <w:rFonts w:ascii="Times New Roman" w:hAnsi="Times New Roman" w:cs="Times New Roman"/>
        </w:rPr>
        <w:t>Transfer of costs onto or between federally sponsored projects.</w:t>
      </w:r>
    </w:p>
    <w:p w:rsidR="002C68DB" w:rsidRDefault="002C68DB" w:rsidP="002C68DB">
      <w:pPr>
        <w:pStyle w:val="ListParagraph"/>
        <w:numPr>
          <w:ilvl w:val="0"/>
          <w:numId w:val="3"/>
        </w:numPr>
        <w:rPr>
          <w:rFonts w:ascii="Times New Roman" w:hAnsi="Times New Roman" w:cs="Times New Roman"/>
        </w:rPr>
      </w:pPr>
      <w:r>
        <w:rPr>
          <w:rFonts w:ascii="Times New Roman" w:hAnsi="Times New Roman" w:cs="Times New Roman"/>
        </w:rPr>
        <w:t>Transfers to federal projects occurring at the end of a project.</w:t>
      </w:r>
    </w:p>
    <w:p w:rsidR="002C68DB" w:rsidRDefault="002C68DB" w:rsidP="002C68DB">
      <w:pPr>
        <w:pStyle w:val="ListParagraph"/>
        <w:numPr>
          <w:ilvl w:val="0"/>
          <w:numId w:val="3"/>
        </w:numPr>
        <w:rPr>
          <w:rFonts w:ascii="Times New Roman" w:hAnsi="Times New Roman" w:cs="Times New Roman"/>
        </w:rPr>
      </w:pPr>
      <w:r>
        <w:rPr>
          <w:rFonts w:ascii="Times New Roman" w:hAnsi="Times New Roman" w:cs="Times New Roman"/>
        </w:rPr>
        <w:t>Transfers involving non-salary charges greater than 90 days.</w:t>
      </w:r>
    </w:p>
    <w:p w:rsidR="002C68DB" w:rsidRDefault="002C68DB" w:rsidP="002C68DB">
      <w:pPr>
        <w:pStyle w:val="ListParagraph"/>
        <w:numPr>
          <w:ilvl w:val="0"/>
          <w:numId w:val="3"/>
        </w:numPr>
        <w:rPr>
          <w:rFonts w:ascii="Times New Roman" w:hAnsi="Times New Roman" w:cs="Times New Roman"/>
        </w:rPr>
      </w:pPr>
      <w:r>
        <w:rPr>
          <w:rFonts w:ascii="Times New Roman" w:hAnsi="Times New Roman" w:cs="Times New Roman"/>
        </w:rPr>
        <w:t>Transfers between federally sponsored projects which clears an overdraft.</w:t>
      </w:r>
    </w:p>
    <w:p w:rsidR="002C68DB" w:rsidRDefault="002C68DB" w:rsidP="002C68DB">
      <w:pPr>
        <w:pStyle w:val="ListParagraph"/>
        <w:numPr>
          <w:ilvl w:val="0"/>
          <w:numId w:val="3"/>
        </w:numPr>
        <w:rPr>
          <w:rFonts w:ascii="Times New Roman" w:hAnsi="Times New Roman" w:cs="Times New Roman"/>
        </w:rPr>
      </w:pPr>
      <w:r>
        <w:rPr>
          <w:rFonts w:ascii="Times New Roman" w:hAnsi="Times New Roman" w:cs="Times New Roman"/>
        </w:rPr>
        <w:t>Transfers which expend unspent funds on a project that is closing.</w:t>
      </w:r>
    </w:p>
    <w:p w:rsidR="002C68DB" w:rsidRDefault="002C68DB" w:rsidP="002C68DB">
      <w:pPr>
        <w:pStyle w:val="ListParagraph"/>
        <w:numPr>
          <w:ilvl w:val="0"/>
          <w:numId w:val="3"/>
        </w:numPr>
        <w:rPr>
          <w:rFonts w:ascii="Times New Roman" w:hAnsi="Times New Roman" w:cs="Times New Roman"/>
        </w:rPr>
      </w:pPr>
      <w:r>
        <w:rPr>
          <w:rFonts w:ascii="Times New Roman" w:hAnsi="Times New Roman" w:cs="Times New Roman"/>
        </w:rPr>
        <w:t>Any salary distribution charges occurring after a PAR has been certified.</w:t>
      </w:r>
    </w:p>
    <w:p w:rsidR="005149EE" w:rsidRPr="00AE6CEF" w:rsidRDefault="005149EE" w:rsidP="00F92C17">
      <w:pPr>
        <w:rPr>
          <w:rFonts w:ascii="Times New Roman" w:hAnsi="Times New Roman" w:cs="Times New Roman"/>
          <w:color w:val="808080" w:themeColor="background1" w:themeShade="80"/>
        </w:rPr>
      </w:pPr>
      <w:r w:rsidRPr="00AE6CEF">
        <w:rPr>
          <w:rFonts w:ascii="Times New Roman" w:hAnsi="Times New Roman" w:cs="Times New Roman"/>
          <w:color w:val="808080" w:themeColor="background1" w:themeShade="80"/>
        </w:rPr>
        <w:t xml:space="preserve">In the next installment of this series, we will </w:t>
      </w:r>
      <w:r w:rsidR="00F11A55" w:rsidRPr="00AE6CEF">
        <w:rPr>
          <w:rFonts w:ascii="Times New Roman" w:hAnsi="Times New Roman" w:cs="Times New Roman"/>
          <w:color w:val="808080" w:themeColor="background1" w:themeShade="80"/>
        </w:rPr>
        <w:t xml:space="preserve">review </w:t>
      </w:r>
      <w:r w:rsidR="0054677F">
        <w:rPr>
          <w:rFonts w:ascii="Times New Roman" w:hAnsi="Times New Roman" w:cs="Times New Roman"/>
          <w:color w:val="808080" w:themeColor="background1" w:themeShade="80"/>
        </w:rPr>
        <w:t>summary</w:t>
      </w:r>
      <w:r w:rsidR="00DD1980">
        <w:rPr>
          <w:rFonts w:ascii="Times New Roman" w:hAnsi="Times New Roman" w:cs="Times New Roman"/>
          <w:color w:val="808080" w:themeColor="background1" w:themeShade="80"/>
        </w:rPr>
        <w:t xml:space="preserve"> of this series</w:t>
      </w:r>
      <w:r w:rsidRPr="00AE6CEF">
        <w:rPr>
          <w:rFonts w:ascii="Times New Roman" w:hAnsi="Times New Roman" w:cs="Times New Roman"/>
          <w:color w:val="808080" w:themeColor="background1" w:themeShade="80"/>
        </w:rPr>
        <w:t>.</w:t>
      </w:r>
    </w:p>
    <w:p w:rsidR="005149EE" w:rsidRPr="00AE6CEF" w:rsidRDefault="00CC7006" w:rsidP="00F92C17">
      <w:pPr>
        <w:rPr>
          <w:rFonts w:ascii="Times New Roman" w:hAnsi="Times New Roman" w:cs="Times New Roman"/>
          <w:color w:val="808080" w:themeColor="background1" w:themeShade="80"/>
        </w:rPr>
      </w:pPr>
      <w:hyperlink r:id="rId8" w:history="1">
        <w:r w:rsidR="00386462" w:rsidRPr="00FD5FAA">
          <w:rPr>
            <w:rStyle w:val="Hyperlink"/>
            <w:rFonts w:ascii="Times New Roman" w:hAnsi="Times New Roman" w:cs="Times New Roman"/>
          </w:rPr>
          <w:t xml:space="preserve">Review Part </w:t>
        </w:r>
      </w:hyperlink>
      <w:r w:rsidR="0054677F">
        <w:rPr>
          <w:rStyle w:val="Hyperlink"/>
          <w:rFonts w:ascii="Times New Roman" w:hAnsi="Times New Roman" w:cs="Times New Roman"/>
        </w:rPr>
        <w:t>3</w:t>
      </w:r>
    </w:p>
    <w:p w:rsidR="00F92C17" w:rsidRPr="001317D2" w:rsidRDefault="00F92C17">
      <w:pPr>
        <w:rPr>
          <w:rFonts w:ascii="Times New Roman" w:hAnsi="Times New Roman" w:cs="Times New Roman"/>
        </w:rPr>
      </w:pPr>
      <w:bookmarkStart w:id="0" w:name="_GoBack"/>
      <w:bookmarkEnd w:id="0"/>
    </w:p>
    <w:sectPr w:rsidR="00F92C17" w:rsidRPr="001317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06" w:rsidRDefault="00CC7006" w:rsidP="00083D50">
      <w:pPr>
        <w:spacing w:after="0" w:line="240" w:lineRule="auto"/>
      </w:pPr>
      <w:r>
        <w:separator/>
      </w:r>
    </w:p>
  </w:endnote>
  <w:endnote w:type="continuationSeparator" w:id="0">
    <w:p w:rsidR="00CC7006" w:rsidRDefault="00CC7006" w:rsidP="0008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D50" w:rsidRDefault="00083D50">
    <w:pPr>
      <w:pStyle w:val="Footer"/>
    </w:pPr>
    <w:r>
      <w:rPr>
        <w:rFonts w:ascii="Times New Roman" w:hAnsi="Times New Roman" w:cs="Times New Roman"/>
      </w:rPr>
      <w:t>This training series is available on the SPS website.</w:t>
    </w:r>
  </w:p>
  <w:p w:rsidR="00083D50" w:rsidRDefault="00083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06" w:rsidRDefault="00CC7006" w:rsidP="00083D50">
      <w:pPr>
        <w:spacing w:after="0" w:line="240" w:lineRule="auto"/>
      </w:pPr>
      <w:r>
        <w:separator/>
      </w:r>
    </w:p>
  </w:footnote>
  <w:footnote w:type="continuationSeparator" w:id="0">
    <w:p w:rsidR="00CC7006" w:rsidRDefault="00CC7006" w:rsidP="00083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9518E"/>
    <w:multiLevelType w:val="hybridMultilevel"/>
    <w:tmpl w:val="FFF8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07690A"/>
    <w:multiLevelType w:val="hybridMultilevel"/>
    <w:tmpl w:val="FA26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55457"/>
    <w:multiLevelType w:val="hybridMultilevel"/>
    <w:tmpl w:val="B610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5C"/>
    <w:rsid w:val="00083D50"/>
    <w:rsid w:val="001317D2"/>
    <w:rsid w:val="001A738D"/>
    <w:rsid w:val="001E60B6"/>
    <w:rsid w:val="002055C5"/>
    <w:rsid w:val="002316B9"/>
    <w:rsid w:val="002C68DB"/>
    <w:rsid w:val="002F28CA"/>
    <w:rsid w:val="00303072"/>
    <w:rsid w:val="00386462"/>
    <w:rsid w:val="003D6A75"/>
    <w:rsid w:val="00471912"/>
    <w:rsid w:val="004830EC"/>
    <w:rsid w:val="005149EE"/>
    <w:rsid w:val="0054677F"/>
    <w:rsid w:val="00583BAF"/>
    <w:rsid w:val="00584B8C"/>
    <w:rsid w:val="005C6D70"/>
    <w:rsid w:val="00892A5C"/>
    <w:rsid w:val="008D2F04"/>
    <w:rsid w:val="00924CA3"/>
    <w:rsid w:val="00950E2B"/>
    <w:rsid w:val="0098143E"/>
    <w:rsid w:val="009C3037"/>
    <w:rsid w:val="009E7FE9"/>
    <w:rsid w:val="00AE6CEF"/>
    <w:rsid w:val="00BD594A"/>
    <w:rsid w:val="00C9120F"/>
    <w:rsid w:val="00CC7006"/>
    <w:rsid w:val="00D10B2D"/>
    <w:rsid w:val="00D3347F"/>
    <w:rsid w:val="00DD1980"/>
    <w:rsid w:val="00F11A55"/>
    <w:rsid w:val="00F800A8"/>
    <w:rsid w:val="00F92C17"/>
    <w:rsid w:val="00FD2A2F"/>
    <w:rsid w:val="00FD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CEF"/>
    <w:rPr>
      <w:color w:val="0000FF" w:themeColor="hyperlink"/>
      <w:u w:val="single"/>
    </w:rPr>
  </w:style>
  <w:style w:type="paragraph" w:styleId="ListParagraph">
    <w:name w:val="List Paragraph"/>
    <w:basedOn w:val="Normal"/>
    <w:uiPriority w:val="34"/>
    <w:qFormat/>
    <w:rsid w:val="002055C5"/>
    <w:pPr>
      <w:ind w:left="720"/>
      <w:contextualSpacing/>
    </w:pPr>
  </w:style>
  <w:style w:type="paragraph" w:customStyle="1" w:styleId="Default">
    <w:name w:val="Default"/>
    <w:rsid w:val="0098143E"/>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98143E"/>
    <w:pPr>
      <w:spacing w:after="0" w:line="240" w:lineRule="auto"/>
    </w:pPr>
  </w:style>
  <w:style w:type="paragraph" w:styleId="Header">
    <w:name w:val="header"/>
    <w:basedOn w:val="Normal"/>
    <w:link w:val="HeaderChar"/>
    <w:uiPriority w:val="99"/>
    <w:unhideWhenUsed/>
    <w:rsid w:val="0008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D50"/>
  </w:style>
  <w:style w:type="paragraph" w:styleId="Footer">
    <w:name w:val="footer"/>
    <w:basedOn w:val="Normal"/>
    <w:link w:val="FooterChar"/>
    <w:uiPriority w:val="99"/>
    <w:unhideWhenUsed/>
    <w:rsid w:val="0008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D50"/>
  </w:style>
  <w:style w:type="paragraph" w:styleId="BalloonText">
    <w:name w:val="Balloon Text"/>
    <w:basedOn w:val="Normal"/>
    <w:link w:val="BalloonTextChar"/>
    <w:uiPriority w:val="99"/>
    <w:semiHidden/>
    <w:unhideWhenUsed/>
    <w:rsid w:val="0008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CEF"/>
    <w:rPr>
      <w:color w:val="0000FF" w:themeColor="hyperlink"/>
      <w:u w:val="single"/>
    </w:rPr>
  </w:style>
  <w:style w:type="paragraph" w:styleId="ListParagraph">
    <w:name w:val="List Paragraph"/>
    <w:basedOn w:val="Normal"/>
    <w:uiPriority w:val="34"/>
    <w:qFormat/>
    <w:rsid w:val="002055C5"/>
    <w:pPr>
      <w:ind w:left="720"/>
      <w:contextualSpacing/>
    </w:pPr>
  </w:style>
  <w:style w:type="paragraph" w:customStyle="1" w:styleId="Default">
    <w:name w:val="Default"/>
    <w:rsid w:val="0098143E"/>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98143E"/>
    <w:pPr>
      <w:spacing w:after="0" w:line="240" w:lineRule="auto"/>
    </w:pPr>
  </w:style>
  <w:style w:type="paragraph" w:styleId="Header">
    <w:name w:val="header"/>
    <w:basedOn w:val="Normal"/>
    <w:link w:val="HeaderChar"/>
    <w:uiPriority w:val="99"/>
    <w:unhideWhenUsed/>
    <w:rsid w:val="0008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D50"/>
  </w:style>
  <w:style w:type="paragraph" w:styleId="Footer">
    <w:name w:val="footer"/>
    <w:basedOn w:val="Normal"/>
    <w:link w:val="FooterChar"/>
    <w:uiPriority w:val="99"/>
    <w:unhideWhenUsed/>
    <w:rsid w:val="0008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D50"/>
  </w:style>
  <w:style w:type="paragraph" w:styleId="BalloonText">
    <w:name w:val="Balloon Text"/>
    <w:basedOn w:val="Normal"/>
    <w:link w:val="BalloonTextChar"/>
    <w:uiPriority w:val="99"/>
    <w:semiHidden/>
    <w:unhideWhenUsed/>
    <w:rsid w:val="0008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rdue.edu/business/sps/doc/costtransfer_part3.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jlawrenc</dc:creator>
  <cp:lastModifiedBy>Yu, Lingling</cp:lastModifiedBy>
  <cp:revision>5</cp:revision>
  <dcterms:created xsi:type="dcterms:W3CDTF">2013-04-04T12:03:00Z</dcterms:created>
  <dcterms:modified xsi:type="dcterms:W3CDTF">2014-04-29T20:25:00Z</dcterms:modified>
</cp:coreProperties>
</file>