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C07AC" w14:textId="6C08A00C" w:rsidR="00E210F5" w:rsidRDefault="00DA1CE0" w:rsidP="00EC2587">
      <w:pPr>
        <w:spacing w:before="67"/>
        <w:ind w:right="2880"/>
        <w:jc w:val="center"/>
        <w:rPr>
          <w:b/>
          <w:sz w:val="20"/>
        </w:rPr>
      </w:pPr>
      <w:bookmarkStart w:id="0" w:name="_GoBack"/>
      <w:bookmarkEnd w:id="0"/>
      <w:r>
        <w:rPr>
          <w:b/>
          <w:sz w:val="20"/>
        </w:rPr>
        <w:t xml:space="preserve"> </w:t>
      </w:r>
      <w:r w:rsidR="00EC2587">
        <w:rPr>
          <w:b/>
          <w:sz w:val="20"/>
        </w:rPr>
        <w:t xml:space="preserve">                                     </w:t>
      </w:r>
      <w:r w:rsidR="008804C6">
        <w:rPr>
          <w:b/>
          <w:sz w:val="20"/>
        </w:rPr>
        <w:t xml:space="preserve">Subrecipient Risk Analysis </w:t>
      </w:r>
      <w:r w:rsidR="00EC2587">
        <w:rPr>
          <w:b/>
          <w:sz w:val="20"/>
        </w:rPr>
        <w:t xml:space="preserve">Form </w:t>
      </w:r>
      <w:r w:rsidR="00FB4DCA">
        <w:rPr>
          <w:b/>
          <w:sz w:val="20"/>
        </w:rPr>
        <w:t>Instructions</w:t>
      </w:r>
    </w:p>
    <w:p w14:paraId="638F275A" w14:textId="77777777" w:rsidR="00E210F5" w:rsidRDefault="00E210F5">
      <w:pPr>
        <w:pStyle w:val="BodyText"/>
        <w:spacing w:before="1"/>
        <w:rPr>
          <w:b/>
          <w:sz w:val="24"/>
        </w:rPr>
      </w:pPr>
    </w:p>
    <w:p w14:paraId="05E587AF" w14:textId="77777777" w:rsidR="00EB1D72" w:rsidRDefault="00EB1D72" w:rsidP="00EB1D72">
      <w:pPr>
        <w:tabs>
          <w:tab w:val="left" w:pos="474"/>
        </w:tabs>
        <w:spacing w:before="93"/>
        <w:rPr>
          <w:sz w:val="20"/>
        </w:rPr>
      </w:pPr>
      <w:r w:rsidRPr="004A4D0A">
        <w:rPr>
          <w:b/>
          <w:sz w:val="20"/>
          <w:u w:val="single"/>
        </w:rPr>
        <w:t>Section A</w:t>
      </w:r>
      <w:r>
        <w:rPr>
          <w:sz w:val="20"/>
        </w:rPr>
        <w:t>:</w:t>
      </w:r>
    </w:p>
    <w:p w14:paraId="5192EBD6" w14:textId="22A169DC" w:rsidR="004A4D0A" w:rsidRDefault="007D5711" w:rsidP="00EB1D72">
      <w:pPr>
        <w:tabs>
          <w:tab w:val="left" w:pos="474"/>
        </w:tabs>
        <w:spacing w:before="93"/>
        <w:rPr>
          <w:sz w:val="20"/>
        </w:rPr>
      </w:pPr>
      <w:r>
        <w:rPr>
          <w:sz w:val="20"/>
        </w:rPr>
        <w:t xml:space="preserve">This section is where you will review all of the required subrecipient documents (Letter of Intent, Statement of Work, Budget and Budget Justification); Look in Perceptive Content </w:t>
      </w:r>
      <w:r w:rsidR="004A4D0A">
        <w:rPr>
          <w:sz w:val="20"/>
        </w:rPr>
        <w:t xml:space="preserve">in the </w:t>
      </w:r>
      <w:r>
        <w:rPr>
          <w:sz w:val="20"/>
        </w:rPr>
        <w:t>SPS Sub</w:t>
      </w:r>
      <w:r w:rsidR="00102F4A">
        <w:rPr>
          <w:sz w:val="20"/>
        </w:rPr>
        <w:t>r</w:t>
      </w:r>
      <w:r>
        <w:rPr>
          <w:sz w:val="20"/>
        </w:rPr>
        <w:t>ecipient Monitoring</w:t>
      </w:r>
      <w:r w:rsidR="004A4D0A">
        <w:rPr>
          <w:sz w:val="20"/>
        </w:rPr>
        <w:t xml:space="preserve"> Portal</w:t>
      </w:r>
      <w:r>
        <w:rPr>
          <w:sz w:val="20"/>
        </w:rPr>
        <w:t xml:space="preserve"> and search using the Subrecipient number </w:t>
      </w:r>
      <w:r w:rsidR="00102F4A">
        <w:rPr>
          <w:sz w:val="20"/>
        </w:rPr>
        <w:t xml:space="preserve">and/or Subrecipient name </w:t>
      </w:r>
      <w:r>
        <w:rPr>
          <w:sz w:val="20"/>
        </w:rPr>
        <w:t xml:space="preserve">to review the Subrecipient Entity Profile and Subrecipient </w:t>
      </w:r>
      <w:r w:rsidR="00102F4A">
        <w:rPr>
          <w:sz w:val="20"/>
        </w:rPr>
        <w:t xml:space="preserve">Audit </w:t>
      </w:r>
      <w:r>
        <w:rPr>
          <w:sz w:val="20"/>
        </w:rPr>
        <w:t xml:space="preserve">Risk Summary. </w:t>
      </w:r>
      <w:r w:rsidR="004A4D0A">
        <w:rPr>
          <w:sz w:val="20"/>
        </w:rPr>
        <w:t>Proceed to section B if the Subrecipient Risk Summary is in the Portal.</w:t>
      </w:r>
    </w:p>
    <w:p w14:paraId="1F035354" w14:textId="2EB3609B" w:rsidR="00FB1F61" w:rsidRDefault="007D5711" w:rsidP="00EB1D72">
      <w:pPr>
        <w:tabs>
          <w:tab w:val="left" w:pos="474"/>
        </w:tabs>
        <w:spacing w:before="93"/>
        <w:rPr>
          <w:sz w:val="20"/>
        </w:rPr>
      </w:pPr>
      <w:r>
        <w:rPr>
          <w:sz w:val="20"/>
        </w:rPr>
        <w:t xml:space="preserve">If </w:t>
      </w:r>
      <w:r w:rsidR="004A4D0A">
        <w:rPr>
          <w:sz w:val="20"/>
        </w:rPr>
        <w:t>the Subrecipient Risk Summary is not in the SPS Subrecipient Monitoring Portal</w:t>
      </w:r>
      <w:r>
        <w:rPr>
          <w:sz w:val="20"/>
        </w:rPr>
        <w:t xml:space="preserve"> you will need to email </w:t>
      </w:r>
      <w:hyperlink r:id="rId7" w:history="1">
        <w:r w:rsidRPr="00464C38">
          <w:rPr>
            <w:rStyle w:val="Hyperlink"/>
            <w:sz w:val="20"/>
          </w:rPr>
          <w:t>rqa@purdue.edu</w:t>
        </w:r>
      </w:hyperlink>
      <w:r>
        <w:rPr>
          <w:sz w:val="20"/>
        </w:rPr>
        <w:t xml:space="preserve">. Please use the email template </w:t>
      </w:r>
      <w:r w:rsidR="00FB1F61">
        <w:rPr>
          <w:sz w:val="20"/>
        </w:rPr>
        <w:t xml:space="preserve">found at this location: </w:t>
      </w:r>
      <w:r w:rsidR="00FB1F61" w:rsidRPr="00FB1F61">
        <w:rPr>
          <w:sz w:val="20"/>
        </w:rPr>
        <w:t>K:\_DeptAll\POSTAWARD\Subrecipients</w:t>
      </w:r>
      <w:r w:rsidR="00FB1F61">
        <w:rPr>
          <w:sz w:val="20"/>
        </w:rPr>
        <w:t>\Subrecipient Audit Risk Summary not found.</w:t>
      </w:r>
      <w:r w:rsidR="004A4D0A">
        <w:rPr>
          <w:sz w:val="20"/>
        </w:rPr>
        <w:t xml:space="preserve"> </w:t>
      </w:r>
    </w:p>
    <w:p w14:paraId="0C6E517A" w14:textId="71E2A5E6" w:rsidR="007D5711" w:rsidRDefault="007D5711" w:rsidP="00EB1D72">
      <w:pPr>
        <w:tabs>
          <w:tab w:val="left" w:pos="474"/>
        </w:tabs>
        <w:spacing w:before="93"/>
        <w:rPr>
          <w:sz w:val="20"/>
        </w:rPr>
      </w:pPr>
      <w:r>
        <w:rPr>
          <w:sz w:val="20"/>
        </w:rPr>
        <w:t xml:space="preserve">Once RQA has completed the review, they will upload the Subrecipient </w:t>
      </w:r>
      <w:r w:rsidR="00102F4A">
        <w:rPr>
          <w:sz w:val="20"/>
        </w:rPr>
        <w:t xml:space="preserve">Audit </w:t>
      </w:r>
      <w:r>
        <w:rPr>
          <w:sz w:val="20"/>
        </w:rPr>
        <w:t xml:space="preserve">Risk Summary and notify you that the review has been complete. At that </w:t>
      </w:r>
      <w:r w:rsidR="00102F4A">
        <w:rPr>
          <w:sz w:val="20"/>
        </w:rPr>
        <w:t>time,</w:t>
      </w:r>
      <w:r>
        <w:rPr>
          <w:sz w:val="20"/>
        </w:rPr>
        <w:t xml:space="preserve"> you may proceed to Sections B &amp; C to finalize the risk assessment prior to sending to the manager for review/approval and notification to contracting.</w:t>
      </w:r>
    </w:p>
    <w:p w14:paraId="7F387BE6" w14:textId="77777777" w:rsidR="007D5711" w:rsidRDefault="007D5711" w:rsidP="004A4D0A">
      <w:pPr>
        <w:tabs>
          <w:tab w:val="center" w:pos="3563"/>
        </w:tabs>
        <w:spacing w:before="93"/>
        <w:rPr>
          <w:sz w:val="20"/>
        </w:rPr>
      </w:pPr>
      <w:r>
        <w:rPr>
          <w:noProof/>
          <w:lang w:bidi="ar-SA"/>
        </w:rPr>
        <w:drawing>
          <wp:anchor distT="0" distB="0" distL="114300" distR="114300" simplePos="0" relativeHeight="251658240" behindDoc="0" locked="0" layoutInCell="1" allowOverlap="1" wp14:anchorId="2C346F60" wp14:editId="72A18BD1">
            <wp:simplePos x="561975" y="2286000"/>
            <wp:positionH relativeFrom="column">
              <wp:align>left</wp:align>
            </wp:positionH>
            <wp:positionV relativeFrom="paragraph">
              <wp:align>top</wp:align>
            </wp:positionV>
            <wp:extent cx="2219048" cy="1942857"/>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219048" cy="1942857"/>
                    </a:xfrm>
                    <a:prstGeom prst="rect">
                      <a:avLst/>
                    </a:prstGeom>
                  </pic:spPr>
                </pic:pic>
              </a:graphicData>
            </a:graphic>
          </wp:anchor>
        </w:drawing>
      </w:r>
      <w:r w:rsidR="004A4D0A">
        <w:rPr>
          <w:sz w:val="20"/>
        </w:rPr>
        <w:tab/>
      </w:r>
      <w:r w:rsidR="004A4D0A">
        <w:rPr>
          <w:sz w:val="20"/>
        </w:rPr>
        <w:br w:type="textWrapping" w:clear="all"/>
      </w:r>
    </w:p>
    <w:p w14:paraId="34F62ACE" w14:textId="77777777" w:rsidR="00EB1D72" w:rsidRDefault="00EB1D72" w:rsidP="00EB1D72">
      <w:pPr>
        <w:tabs>
          <w:tab w:val="left" w:pos="474"/>
        </w:tabs>
        <w:spacing w:before="93"/>
        <w:rPr>
          <w:sz w:val="20"/>
        </w:rPr>
      </w:pPr>
      <w:r w:rsidRPr="004A4D0A">
        <w:rPr>
          <w:b/>
          <w:sz w:val="20"/>
          <w:u w:val="single"/>
        </w:rPr>
        <w:t>Section B</w:t>
      </w:r>
      <w:r>
        <w:rPr>
          <w:sz w:val="20"/>
        </w:rPr>
        <w:t xml:space="preserve">: </w:t>
      </w:r>
    </w:p>
    <w:p w14:paraId="62D4EB3D" w14:textId="585094B9" w:rsidR="007D5711" w:rsidRDefault="007D5711" w:rsidP="007D5711">
      <w:pPr>
        <w:pStyle w:val="ListParagraph"/>
        <w:numPr>
          <w:ilvl w:val="0"/>
          <w:numId w:val="4"/>
        </w:numPr>
        <w:tabs>
          <w:tab w:val="left" w:pos="474"/>
        </w:tabs>
        <w:spacing w:before="93"/>
        <w:rPr>
          <w:sz w:val="20"/>
        </w:rPr>
      </w:pPr>
      <w:r>
        <w:rPr>
          <w:sz w:val="20"/>
        </w:rPr>
        <w:t>This will be answered based on the information provided on the Subrecipient</w:t>
      </w:r>
      <w:r w:rsidR="00102F4A">
        <w:rPr>
          <w:sz w:val="20"/>
        </w:rPr>
        <w:t xml:space="preserve"> Audit</w:t>
      </w:r>
      <w:r>
        <w:rPr>
          <w:sz w:val="20"/>
        </w:rPr>
        <w:t xml:space="preserve"> Risk Summary in the </w:t>
      </w:r>
      <w:r w:rsidR="00EC2587">
        <w:rPr>
          <w:sz w:val="20"/>
        </w:rPr>
        <w:t xml:space="preserve">SPS </w:t>
      </w:r>
      <w:r>
        <w:rPr>
          <w:sz w:val="20"/>
        </w:rPr>
        <w:t xml:space="preserve">Subrecipient </w:t>
      </w:r>
      <w:r w:rsidR="00EC2587">
        <w:rPr>
          <w:sz w:val="20"/>
        </w:rPr>
        <w:t xml:space="preserve">Monitoring </w:t>
      </w:r>
      <w:r w:rsidR="00102F4A">
        <w:rPr>
          <w:sz w:val="20"/>
        </w:rPr>
        <w:t>Portal</w:t>
      </w:r>
      <w:r w:rsidR="00EC2587">
        <w:rPr>
          <w:sz w:val="20"/>
        </w:rPr>
        <w:t>.</w:t>
      </w:r>
    </w:p>
    <w:p w14:paraId="1D516B2A" w14:textId="03C0FEE8" w:rsidR="00EC2587" w:rsidRDefault="009D6C34" w:rsidP="00EC2587">
      <w:pPr>
        <w:pStyle w:val="ListParagraph"/>
        <w:numPr>
          <w:ilvl w:val="0"/>
          <w:numId w:val="4"/>
        </w:numPr>
        <w:tabs>
          <w:tab w:val="left" w:pos="474"/>
        </w:tabs>
        <w:spacing w:before="93"/>
        <w:rPr>
          <w:sz w:val="20"/>
        </w:rPr>
      </w:pPr>
      <w:r>
        <w:rPr>
          <w:sz w:val="20"/>
        </w:rPr>
        <w:t>If the subrecipient has an audit in the Federal Audit Clearinghouse then they receive F</w:t>
      </w:r>
      <w:r w:rsidR="00102F4A">
        <w:rPr>
          <w:sz w:val="20"/>
        </w:rPr>
        <w:t>ederal</w:t>
      </w:r>
      <w:r>
        <w:rPr>
          <w:sz w:val="20"/>
        </w:rPr>
        <w:t xml:space="preserve"> Funds</w:t>
      </w:r>
      <w:r w:rsidR="00102F4A">
        <w:rPr>
          <w:sz w:val="20"/>
        </w:rPr>
        <w:t xml:space="preserve"> and will have a Subrecipient Audit Risk Summary uploaded in the SPS Subrecipient Monitoring Portal.</w:t>
      </w:r>
    </w:p>
    <w:p w14:paraId="5788E23A" w14:textId="77777777" w:rsidR="00EC2587" w:rsidRDefault="00EC2587" w:rsidP="007D5711">
      <w:pPr>
        <w:pStyle w:val="ListParagraph"/>
        <w:numPr>
          <w:ilvl w:val="0"/>
          <w:numId w:val="4"/>
        </w:numPr>
        <w:tabs>
          <w:tab w:val="left" w:pos="474"/>
        </w:tabs>
        <w:spacing w:before="93"/>
        <w:rPr>
          <w:sz w:val="20"/>
        </w:rPr>
      </w:pPr>
      <w:r>
        <w:rPr>
          <w:sz w:val="20"/>
        </w:rPr>
        <w:t>Go to SAM.gov to search for the subrecipient to see if that subrecipient is debarred or suspended</w:t>
      </w:r>
    </w:p>
    <w:p w14:paraId="395BBF36" w14:textId="77777777" w:rsidR="00EC2587" w:rsidRDefault="00EC2587" w:rsidP="007D5711">
      <w:pPr>
        <w:pStyle w:val="ListParagraph"/>
        <w:numPr>
          <w:ilvl w:val="0"/>
          <w:numId w:val="4"/>
        </w:numPr>
        <w:tabs>
          <w:tab w:val="left" w:pos="474"/>
        </w:tabs>
        <w:spacing w:before="93"/>
        <w:rPr>
          <w:sz w:val="20"/>
        </w:rPr>
      </w:pPr>
      <w:r>
        <w:rPr>
          <w:sz w:val="20"/>
        </w:rPr>
        <w:t xml:space="preserve">You will need to review the Prime agreement to determine if there are </w:t>
      </w:r>
      <w:proofErr w:type="spellStart"/>
      <w:r>
        <w:rPr>
          <w:sz w:val="20"/>
        </w:rPr>
        <w:t>flowdown</w:t>
      </w:r>
      <w:proofErr w:type="spellEnd"/>
      <w:r>
        <w:rPr>
          <w:sz w:val="20"/>
        </w:rPr>
        <w:t xml:space="preserve"> provisions that need further assessment</w:t>
      </w:r>
    </w:p>
    <w:p w14:paraId="0FC342ED" w14:textId="77777777" w:rsidR="00EC2587" w:rsidRPr="00EC2587" w:rsidRDefault="00EC2587" w:rsidP="00EC2587">
      <w:pPr>
        <w:pStyle w:val="ListParagraph"/>
        <w:numPr>
          <w:ilvl w:val="0"/>
          <w:numId w:val="4"/>
        </w:numPr>
        <w:tabs>
          <w:tab w:val="left" w:pos="474"/>
        </w:tabs>
        <w:spacing w:before="93"/>
        <w:rPr>
          <w:sz w:val="20"/>
        </w:rPr>
      </w:pPr>
      <w:r>
        <w:rPr>
          <w:sz w:val="20"/>
        </w:rPr>
        <w:t>This will be answered based on the information provided on the Subrecipient Risk Summary in the SPS Subrecipient Monitoring folder of Perceptive Content.</w:t>
      </w:r>
    </w:p>
    <w:p w14:paraId="50EB3C70" w14:textId="77777777" w:rsidR="00EB1D72" w:rsidRPr="00EB1D72" w:rsidRDefault="00EB1D72" w:rsidP="00EB1D72">
      <w:pPr>
        <w:tabs>
          <w:tab w:val="left" w:pos="474"/>
        </w:tabs>
        <w:spacing w:before="93"/>
        <w:rPr>
          <w:sz w:val="20"/>
        </w:rPr>
      </w:pPr>
      <w:r w:rsidRPr="004A4D0A">
        <w:rPr>
          <w:b/>
          <w:sz w:val="20"/>
          <w:u w:val="single"/>
        </w:rPr>
        <w:t>Section C</w:t>
      </w:r>
      <w:r>
        <w:rPr>
          <w:sz w:val="20"/>
        </w:rPr>
        <w:t>:</w:t>
      </w:r>
    </w:p>
    <w:p w14:paraId="6B7A7352" w14:textId="77777777" w:rsidR="00E210F5" w:rsidRDefault="008804C6">
      <w:pPr>
        <w:pStyle w:val="ListParagraph"/>
        <w:numPr>
          <w:ilvl w:val="0"/>
          <w:numId w:val="1"/>
        </w:numPr>
        <w:tabs>
          <w:tab w:val="left" w:pos="474"/>
        </w:tabs>
        <w:spacing w:before="93"/>
        <w:ind w:hanging="361"/>
        <w:rPr>
          <w:sz w:val="20"/>
        </w:rPr>
      </w:pPr>
      <w:r>
        <w:rPr>
          <w:sz w:val="20"/>
        </w:rPr>
        <w:t>Foreign or</w:t>
      </w:r>
      <w:r>
        <w:rPr>
          <w:spacing w:val="-2"/>
          <w:sz w:val="20"/>
        </w:rPr>
        <w:t xml:space="preserve"> </w:t>
      </w:r>
      <w:r>
        <w:rPr>
          <w:sz w:val="20"/>
        </w:rPr>
        <w:t>Domestic:</w:t>
      </w:r>
    </w:p>
    <w:p w14:paraId="53A6FA70" w14:textId="77777777" w:rsidR="00E210F5" w:rsidRPr="00EC2587" w:rsidRDefault="00E210F5">
      <w:pPr>
        <w:pStyle w:val="BodyText"/>
        <w:spacing w:before="10"/>
        <w:rPr>
          <w:sz w:val="16"/>
          <w:szCs w:val="16"/>
        </w:rPr>
      </w:pPr>
    </w:p>
    <w:p w14:paraId="47E27906" w14:textId="77777777" w:rsidR="00E210F5" w:rsidRDefault="008804C6">
      <w:pPr>
        <w:pStyle w:val="ListParagraph"/>
        <w:numPr>
          <w:ilvl w:val="1"/>
          <w:numId w:val="1"/>
        </w:numPr>
        <w:tabs>
          <w:tab w:val="left" w:pos="1194"/>
        </w:tabs>
        <w:ind w:right="126" w:hanging="361"/>
        <w:rPr>
          <w:sz w:val="20"/>
        </w:rPr>
      </w:pPr>
      <w:r>
        <w:rPr>
          <w:sz w:val="20"/>
        </w:rPr>
        <w:lastRenderedPageBreak/>
        <w:t>Foreign: Work is being assigned to a public or private organization located in a country other than the United</w:t>
      </w:r>
      <w:r>
        <w:rPr>
          <w:spacing w:val="-2"/>
          <w:sz w:val="20"/>
        </w:rPr>
        <w:t xml:space="preserve"> </w:t>
      </w:r>
      <w:r>
        <w:rPr>
          <w:sz w:val="20"/>
        </w:rPr>
        <w:t>States</w:t>
      </w:r>
      <w:r>
        <w:rPr>
          <w:spacing w:val="-3"/>
          <w:sz w:val="20"/>
        </w:rPr>
        <w:t xml:space="preserve"> </w:t>
      </w:r>
      <w:r>
        <w:rPr>
          <w:sz w:val="20"/>
        </w:rPr>
        <w:t>and</w:t>
      </w:r>
      <w:r>
        <w:rPr>
          <w:spacing w:val="-4"/>
          <w:sz w:val="20"/>
        </w:rPr>
        <w:t xml:space="preserve"> </w:t>
      </w:r>
      <w:r>
        <w:rPr>
          <w:sz w:val="20"/>
        </w:rPr>
        <w:t>its</w:t>
      </w:r>
      <w:r>
        <w:rPr>
          <w:spacing w:val="-2"/>
          <w:sz w:val="20"/>
        </w:rPr>
        <w:t xml:space="preserve"> </w:t>
      </w:r>
      <w:r>
        <w:rPr>
          <w:sz w:val="20"/>
        </w:rPr>
        <w:t>territories</w:t>
      </w:r>
      <w:r>
        <w:rPr>
          <w:spacing w:val="-3"/>
          <w:sz w:val="20"/>
        </w:rPr>
        <w:t xml:space="preserve"> </w:t>
      </w:r>
      <w:r>
        <w:rPr>
          <w:sz w:val="20"/>
        </w:rPr>
        <w:t>that</w:t>
      </w:r>
      <w:r>
        <w:rPr>
          <w:spacing w:val="-2"/>
          <w:sz w:val="20"/>
        </w:rPr>
        <w:t xml:space="preserve"> </w:t>
      </w:r>
      <w:r>
        <w:rPr>
          <w:sz w:val="20"/>
        </w:rPr>
        <w:t>is</w:t>
      </w:r>
      <w:r>
        <w:rPr>
          <w:spacing w:val="-3"/>
          <w:sz w:val="20"/>
        </w:rPr>
        <w:t xml:space="preserve"> </w:t>
      </w:r>
      <w:r>
        <w:rPr>
          <w:sz w:val="20"/>
        </w:rPr>
        <w:t>subject</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laws</w:t>
      </w:r>
      <w:r>
        <w:rPr>
          <w:spacing w:val="-3"/>
          <w:sz w:val="20"/>
        </w:rPr>
        <w:t xml:space="preserve"> </w:t>
      </w:r>
      <w:r>
        <w:rPr>
          <w:sz w:val="20"/>
        </w:rPr>
        <w:t>of</w:t>
      </w:r>
      <w:r>
        <w:rPr>
          <w:spacing w:val="-1"/>
          <w:sz w:val="20"/>
        </w:rPr>
        <w:t xml:space="preserve"> </w:t>
      </w:r>
      <w:r>
        <w:rPr>
          <w:sz w:val="20"/>
        </w:rPr>
        <w:t>the</w:t>
      </w:r>
      <w:r>
        <w:rPr>
          <w:spacing w:val="-4"/>
          <w:sz w:val="20"/>
        </w:rPr>
        <w:t xml:space="preserve"> </w:t>
      </w:r>
      <w:r>
        <w:rPr>
          <w:sz w:val="20"/>
        </w:rPr>
        <w:t>country</w:t>
      </w:r>
      <w:r>
        <w:rPr>
          <w:spacing w:val="-5"/>
          <w:sz w:val="20"/>
        </w:rPr>
        <w:t xml:space="preserve"> </w:t>
      </w:r>
      <w:r>
        <w:rPr>
          <w:sz w:val="20"/>
        </w:rPr>
        <w:t>in</w:t>
      </w:r>
      <w:r>
        <w:rPr>
          <w:spacing w:val="-1"/>
          <w:sz w:val="20"/>
        </w:rPr>
        <w:t xml:space="preserve"> </w:t>
      </w:r>
      <w:r>
        <w:rPr>
          <w:sz w:val="20"/>
        </w:rPr>
        <w:t>which</w:t>
      </w:r>
      <w:r>
        <w:rPr>
          <w:spacing w:val="-2"/>
          <w:sz w:val="20"/>
        </w:rPr>
        <w:t xml:space="preserve"> </w:t>
      </w:r>
      <w:r>
        <w:rPr>
          <w:sz w:val="20"/>
        </w:rPr>
        <w:t>it</w:t>
      </w:r>
      <w:r>
        <w:rPr>
          <w:spacing w:val="-2"/>
          <w:sz w:val="20"/>
        </w:rPr>
        <w:t xml:space="preserve"> </w:t>
      </w:r>
      <w:r>
        <w:rPr>
          <w:sz w:val="20"/>
        </w:rPr>
        <w:t>is</w:t>
      </w:r>
      <w:r>
        <w:rPr>
          <w:spacing w:val="-3"/>
          <w:sz w:val="20"/>
        </w:rPr>
        <w:t xml:space="preserve"> </w:t>
      </w:r>
      <w:r>
        <w:rPr>
          <w:sz w:val="20"/>
        </w:rPr>
        <w:t>located,</w:t>
      </w:r>
      <w:r>
        <w:rPr>
          <w:spacing w:val="-2"/>
          <w:sz w:val="20"/>
        </w:rPr>
        <w:t xml:space="preserve"> </w:t>
      </w:r>
      <w:r>
        <w:rPr>
          <w:sz w:val="20"/>
        </w:rPr>
        <w:t>irrespective</w:t>
      </w:r>
      <w:r>
        <w:rPr>
          <w:spacing w:val="-3"/>
          <w:sz w:val="20"/>
        </w:rPr>
        <w:t xml:space="preserve"> </w:t>
      </w:r>
      <w:r>
        <w:rPr>
          <w:sz w:val="20"/>
        </w:rPr>
        <w:t>of the citizenship of project staff of place of performance (2 CFR</w:t>
      </w:r>
      <w:r>
        <w:rPr>
          <w:spacing w:val="-6"/>
          <w:sz w:val="20"/>
        </w:rPr>
        <w:t xml:space="preserve"> </w:t>
      </w:r>
      <w:r>
        <w:rPr>
          <w:sz w:val="20"/>
        </w:rPr>
        <w:t>200.47).</w:t>
      </w:r>
    </w:p>
    <w:p w14:paraId="5649A8F4" w14:textId="77777777" w:rsidR="00E210F5" w:rsidRPr="00EC2587" w:rsidRDefault="00E210F5">
      <w:pPr>
        <w:pStyle w:val="BodyText"/>
        <w:spacing w:before="9"/>
        <w:rPr>
          <w:sz w:val="16"/>
          <w:szCs w:val="16"/>
        </w:rPr>
      </w:pPr>
    </w:p>
    <w:p w14:paraId="62E3874F" w14:textId="77777777" w:rsidR="00E210F5" w:rsidRDefault="008804C6">
      <w:pPr>
        <w:pStyle w:val="ListParagraph"/>
        <w:numPr>
          <w:ilvl w:val="1"/>
          <w:numId w:val="1"/>
        </w:numPr>
        <w:tabs>
          <w:tab w:val="left" w:pos="1194"/>
        </w:tabs>
        <w:ind w:right="346"/>
        <w:rPr>
          <w:sz w:val="20"/>
        </w:rPr>
      </w:pPr>
      <w:r>
        <w:rPr>
          <w:sz w:val="20"/>
        </w:rPr>
        <w:t>Domestic:</w:t>
      </w:r>
      <w:r>
        <w:rPr>
          <w:spacing w:val="-9"/>
          <w:sz w:val="20"/>
        </w:rPr>
        <w:t xml:space="preserve"> </w:t>
      </w:r>
      <w:r>
        <w:rPr>
          <w:sz w:val="20"/>
        </w:rPr>
        <w:t>Work</w:t>
      </w:r>
      <w:r>
        <w:rPr>
          <w:spacing w:val="-1"/>
          <w:sz w:val="20"/>
        </w:rPr>
        <w:t xml:space="preserve"> </w:t>
      </w:r>
      <w:r>
        <w:rPr>
          <w:sz w:val="20"/>
        </w:rPr>
        <w:t>is</w:t>
      </w:r>
      <w:r>
        <w:rPr>
          <w:spacing w:val="-3"/>
          <w:sz w:val="20"/>
        </w:rPr>
        <w:t xml:space="preserve"> </w:t>
      </w:r>
      <w:r>
        <w:rPr>
          <w:sz w:val="20"/>
        </w:rPr>
        <w:t>being</w:t>
      </w:r>
      <w:r>
        <w:rPr>
          <w:spacing w:val="-2"/>
          <w:sz w:val="20"/>
        </w:rPr>
        <w:t xml:space="preserve"> </w:t>
      </w:r>
      <w:r>
        <w:rPr>
          <w:sz w:val="20"/>
        </w:rPr>
        <w:t>assigned</w:t>
      </w:r>
      <w:r>
        <w:rPr>
          <w:spacing w:val="-4"/>
          <w:sz w:val="20"/>
        </w:rPr>
        <w:t xml:space="preserve"> </w:t>
      </w:r>
      <w:r>
        <w:rPr>
          <w:sz w:val="20"/>
        </w:rPr>
        <w:t>to</w:t>
      </w:r>
      <w:r>
        <w:rPr>
          <w:spacing w:val="-2"/>
          <w:sz w:val="20"/>
        </w:rPr>
        <w:t xml:space="preserve"> </w:t>
      </w:r>
      <w:r>
        <w:rPr>
          <w:sz w:val="20"/>
        </w:rPr>
        <w:t>a</w:t>
      </w:r>
      <w:r>
        <w:rPr>
          <w:spacing w:val="-4"/>
          <w:sz w:val="20"/>
        </w:rPr>
        <w:t xml:space="preserve"> </w:t>
      </w:r>
      <w:r>
        <w:rPr>
          <w:sz w:val="20"/>
        </w:rPr>
        <w:t>public</w:t>
      </w:r>
      <w:r>
        <w:rPr>
          <w:spacing w:val="-3"/>
          <w:sz w:val="20"/>
        </w:rPr>
        <w:t xml:space="preserve"> </w:t>
      </w:r>
      <w:r>
        <w:rPr>
          <w:sz w:val="20"/>
        </w:rPr>
        <w:t>or</w:t>
      </w:r>
      <w:r>
        <w:rPr>
          <w:spacing w:val="-3"/>
          <w:sz w:val="20"/>
        </w:rPr>
        <w:t xml:space="preserve"> </w:t>
      </w:r>
      <w:r>
        <w:rPr>
          <w:sz w:val="20"/>
        </w:rPr>
        <w:t>private</w:t>
      </w:r>
      <w:r>
        <w:rPr>
          <w:spacing w:val="-3"/>
          <w:sz w:val="20"/>
        </w:rPr>
        <w:t xml:space="preserve"> </w:t>
      </w:r>
      <w:r>
        <w:rPr>
          <w:sz w:val="20"/>
        </w:rPr>
        <w:t>organization</w:t>
      </w:r>
      <w:r>
        <w:rPr>
          <w:spacing w:val="-2"/>
          <w:sz w:val="20"/>
        </w:rPr>
        <w:t xml:space="preserve"> </w:t>
      </w:r>
      <w:r>
        <w:rPr>
          <w:sz w:val="20"/>
        </w:rPr>
        <w:t>located</w:t>
      </w:r>
      <w:r>
        <w:rPr>
          <w:spacing w:val="-2"/>
          <w:sz w:val="20"/>
        </w:rPr>
        <w:t xml:space="preserve"> </w:t>
      </w:r>
      <w:r>
        <w:rPr>
          <w:sz w:val="20"/>
        </w:rPr>
        <w:t>within</w:t>
      </w:r>
      <w:r>
        <w:rPr>
          <w:spacing w:val="-2"/>
          <w:sz w:val="20"/>
        </w:rPr>
        <w:t xml:space="preserve"> </w:t>
      </w:r>
      <w:r>
        <w:rPr>
          <w:sz w:val="20"/>
        </w:rPr>
        <w:t>the</w:t>
      </w:r>
      <w:r>
        <w:rPr>
          <w:spacing w:val="-4"/>
          <w:sz w:val="20"/>
        </w:rPr>
        <w:t xml:space="preserve"> </w:t>
      </w:r>
      <w:r>
        <w:rPr>
          <w:sz w:val="20"/>
        </w:rPr>
        <w:t>United</w:t>
      </w:r>
      <w:r>
        <w:rPr>
          <w:spacing w:val="-2"/>
          <w:sz w:val="20"/>
        </w:rPr>
        <w:t xml:space="preserve"> </w:t>
      </w:r>
      <w:r>
        <w:rPr>
          <w:sz w:val="20"/>
        </w:rPr>
        <w:t>States</w:t>
      </w:r>
      <w:r>
        <w:rPr>
          <w:spacing w:val="-3"/>
          <w:sz w:val="20"/>
        </w:rPr>
        <w:t xml:space="preserve"> </w:t>
      </w:r>
      <w:r>
        <w:rPr>
          <w:sz w:val="20"/>
        </w:rPr>
        <w:t>and its</w:t>
      </w:r>
      <w:r>
        <w:rPr>
          <w:spacing w:val="-1"/>
          <w:sz w:val="20"/>
        </w:rPr>
        <w:t xml:space="preserve"> </w:t>
      </w:r>
      <w:r>
        <w:rPr>
          <w:sz w:val="20"/>
        </w:rPr>
        <w:t>territories.</w:t>
      </w:r>
    </w:p>
    <w:p w14:paraId="4DCAC667" w14:textId="77777777" w:rsidR="00EC2587" w:rsidRDefault="00EC2587">
      <w:pPr>
        <w:ind w:left="833"/>
        <w:rPr>
          <w:i/>
          <w:sz w:val="20"/>
          <w:u w:val="single"/>
        </w:rPr>
      </w:pPr>
    </w:p>
    <w:p w14:paraId="772A3C0D" w14:textId="77777777" w:rsidR="00E210F5" w:rsidRDefault="008804C6">
      <w:pPr>
        <w:ind w:left="833"/>
        <w:rPr>
          <w:i/>
          <w:sz w:val="20"/>
        </w:rPr>
      </w:pPr>
      <w:r>
        <w:rPr>
          <w:i/>
          <w:sz w:val="20"/>
          <w:u w:val="single"/>
        </w:rPr>
        <w:t>Note:</w:t>
      </w:r>
      <w:r>
        <w:rPr>
          <w:i/>
          <w:sz w:val="20"/>
        </w:rPr>
        <w:t xml:space="preserve"> If work is being conducted outside the United States, please note the location(s) of work in the comments box.</w:t>
      </w:r>
    </w:p>
    <w:p w14:paraId="2A4EA860" w14:textId="77777777" w:rsidR="00E210F5" w:rsidRPr="00EC2587" w:rsidRDefault="00E210F5">
      <w:pPr>
        <w:pStyle w:val="BodyText"/>
        <w:spacing w:before="4"/>
        <w:rPr>
          <w:sz w:val="16"/>
          <w:szCs w:val="16"/>
        </w:rPr>
      </w:pPr>
    </w:p>
    <w:p w14:paraId="269E22D9" w14:textId="77777777" w:rsidR="00E210F5" w:rsidRDefault="008804C6">
      <w:pPr>
        <w:pStyle w:val="ListParagraph"/>
        <w:numPr>
          <w:ilvl w:val="0"/>
          <w:numId w:val="1"/>
        </w:numPr>
        <w:tabs>
          <w:tab w:val="left" w:pos="474"/>
        </w:tabs>
        <w:ind w:hanging="361"/>
        <w:rPr>
          <w:sz w:val="20"/>
        </w:rPr>
      </w:pPr>
      <w:r>
        <w:rPr>
          <w:sz w:val="20"/>
        </w:rPr>
        <w:t>Maturity of Subrecipient’s</w:t>
      </w:r>
      <w:r>
        <w:rPr>
          <w:spacing w:val="2"/>
          <w:sz w:val="20"/>
        </w:rPr>
        <w:t xml:space="preserve"> </w:t>
      </w:r>
      <w:r>
        <w:rPr>
          <w:sz w:val="20"/>
        </w:rPr>
        <w:t>Organization:</w:t>
      </w:r>
    </w:p>
    <w:p w14:paraId="1BABAC9C" w14:textId="77777777" w:rsidR="00E210F5" w:rsidRPr="00EC2587" w:rsidRDefault="00E210F5">
      <w:pPr>
        <w:pStyle w:val="BodyText"/>
        <w:spacing w:before="10"/>
        <w:rPr>
          <w:sz w:val="16"/>
          <w:szCs w:val="16"/>
        </w:rPr>
      </w:pPr>
    </w:p>
    <w:p w14:paraId="2409A4FB" w14:textId="77777777" w:rsidR="00E210F5" w:rsidRDefault="008804C6">
      <w:pPr>
        <w:pStyle w:val="ListParagraph"/>
        <w:numPr>
          <w:ilvl w:val="1"/>
          <w:numId w:val="1"/>
        </w:numPr>
        <w:tabs>
          <w:tab w:val="left" w:pos="1194"/>
        </w:tabs>
        <w:spacing w:before="1"/>
        <w:ind w:right="223"/>
        <w:rPr>
          <w:sz w:val="20"/>
        </w:rPr>
      </w:pPr>
      <w:r>
        <w:rPr>
          <w:sz w:val="20"/>
        </w:rPr>
        <w:t>Mature: A company that is well-established in its industry, with a well-known product and loyal customer following with average growth. Mature firms are categorized according to the business stage it is currently in. These types of firms have passed the stage of rapid growth and tend to grow at the same rate as the overall economy. They also tend to have several equally well-established competitors, making price competition a significant factor in their ability to increase</w:t>
      </w:r>
      <w:r>
        <w:rPr>
          <w:spacing w:val="-5"/>
          <w:sz w:val="20"/>
        </w:rPr>
        <w:t xml:space="preserve"> </w:t>
      </w:r>
      <w:r>
        <w:rPr>
          <w:sz w:val="20"/>
        </w:rPr>
        <w:t>profits.</w:t>
      </w:r>
    </w:p>
    <w:p w14:paraId="210AEF87" w14:textId="77777777" w:rsidR="00E210F5" w:rsidRDefault="00E210F5">
      <w:pPr>
        <w:pStyle w:val="BodyText"/>
        <w:spacing w:before="9"/>
      </w:pPr>
    </w:p>
    <w:p w14:paraId="3B93C651" w14:textId="77777777" w:rsidR="00E210F5" w:rsidRDefault="008804C6">
      <w:pPr>
        <w:pStyle w:val="ListParagraph"/>
        <w:numPr>
          <w:ilvl w:val="1"/>
          <w:numId w:val="1"/>
        </w:numPr>
        <w:tabs>
          <w:tab w:val="left" w:pos="1194"/>
        </w:tabs>
        <w:ind w:right="348"/>
        <w:rPr>
          <w:sz w:val="20"/>
        </w:rPr>
      </w:pPr>
      <w:r>
        <w:rPr>
          <w:sz w:val="20"/>
        </w:rPr>
        <w:t>Startup: A startup company is an entrepreneurial venture in the first stage of its operations, which is typically</w:t>
      </w:r>
      <w:r>
        <w:rPr>
          <w:spacing w:val="-5"/>
          <w:sz w:val="20"/>
        </w:rPr>
        <w:t xml:space="preserve"> </w:t>
      </w:r>
      <w:r>
        <w:rPr>
          <w:sz w:val="20"/>
        </w:rPr>
        <w:t>a</w:t>
      </w:r>
      <w:r>
        <w:rPr>
          <w:spacing w:val="-3"/>
          <w:sz w:val="20"/>
        </w:rPr>
        <w:t xml:space="preserve"> </w:t>
      </w:r>
      <w:r>
        <w:rPr>
          <w:sz w:val="20"/>
        </w:rPr>
        <w:t>newly</w:t>
      </w:r>
      <w:r>
        <w:rPr>
          <w:spacing w:val="-4"/>
          <w:sz w:val="20"/>
        </w:rPr>
        <w:t xml:space="preserve"> </w:t>
      </w:r>
      <w:r>
        <w:rPr>
          <w:sz w:val="20"/>
        </w:rPr>
        <w:t>emerged,</w:t>
      </w:r>
      <w:r>
        <w:rPr>
          <w:spacing w:val="-2"/>
          <w:sz w:val="20"/>
        </w:rPr>
        <w:t xml:space="preserve"> </w:t>
      </w:r>
      <w:r>
        <w:rPr>
          <w:sz w:val="20"/>
        </w:rPr>
        <w:t>fast-growing</w:t>
      </w:r>
      <w:r>
        <w:rPr>
          <w:spacing w:val="-3"/>
          <w:sz w:val="20"/>
        </w:rPr>
        <w:t xml:space="preserve"> </w:t>
      </w:r>
      <w:r>
        <w:rPr>
          <w:sz w:val="20"/>
        </w:rPr>
        <w:t>business</w:t>
      </w:r>
      <w:r>
        <w:rPr>
          <w:spacing w:val="-2"/>
          <w:sz w:val="20"/>
        </w:rPr>
        <w:t xml:space="preserve"> </w:t>
      </w:r>
      <w:r>
        <w:rPr>
          <w:sz w:val="20"/>
        </w:rPr>
        <w:t>that</w:t>
      </w:r>
      <w:r>
        <w:rPr>
          <w:spacing w:val="-1"/>
          <w:sz w:val="20"/>
        </w:rPr>
        <w:t xml:space="preserve"> </w:t>
      </w:r>
      <w:r>
        <w:rPr>
          <w:sz w:val="20"/>
        </w:rPr>
        <w:t>aims</w:t>
      </w:r>
      <w:r>
        <w:rPr>
          <w:spacing w:val="-3"/>
          <w:sz w:val="20"/>
        </w:rPr>
        <w:t xml:space="preserve"> </w:t>
      </w:r>
      <w:r>
        <w:rPr>
          <w:sz w:val="20"/>
        </w:rPr>
        <w:t>to</w:t>
      </w:r>
      <w:r>
        <w:rPr>
          <w:spacing w:val="-6"/>
          <w:sz w:val="20"/>
        </w:rPr>
        <w:t xml:space="preserve"> </w:t>
      </w:r>
      <w:r>
        <w:rPr>
          <w:sz w:val="20"/>
        </w:rPr>
        <w:t>meet</w:t>
      </w:r>
      <w:r>
        <w:rPr>
          <w:spacing w:val="-3"/>
          <w:sz w:val="20"/>
        </w:rPr>
        <w:t xml:space="preserve"> </w:t>
      </w:r>
      <w:r>
        <w:rPr>
          <w:sz w:val="20"/>
        </w:rPr>
        <w:t>a</w:t>
      </w:r>
      <w:r>
        <w:rPr>
          <w:spacing w:val="-3"/>
          <w:sz w:val="20"/>
        </w:rPr>
        <w:t xml:space="preserve"> </w:t>
      </w:r>
      <w:r>
        <w:rPr>
          <w:sz w:val="20"/>
        </w:rPr>
        <w:t>marketplace</w:t>
      </w:r>
      <w:r>
        <w:rPr>
          <w:spacing w:val="-4"/>
          <w:sz w:val="20"/>
        </w:rPr>
        <w:t xml:space="preserve"> </w:t>
      </w:r>
      <w:r>
        <w:rPr>
          <w:sz w:val="20"/>
        </w:rPr>
        <w:t>need</w:t>
      </w:r>
      <w:r>
        <w:rPr>
          <w:spacing w:val="-3"/>
          <w:sz w:val="20"/>
        </w:rPr>
        <w:t xml:space="preserve"> </w:t>
      </w:r>
      <w:r>
        <w:rPr>
          <w:sz w:val="20"/>
        </w:rPr>
        <w:t>by</w:t>
      </w:r>
      <w:r>
        <w:rPr>
          <w:spacing w:val="-4"/>
          <w:sz w:val="20"/>
        </w:rPr>
        <w:t xml:space="preserve"> </w:t>
      </w:r>
      <w:r>
        <w:rPr>
          <w:sz w:val="20"/>
        </w:rPr>
        <w:t>developing</w:t>
      </w:r>
      <w:r>
        <w:rPr>
          <w:spacing w:val="-2"/>
          <w:sz w:val="20"/>
        </w:rPr>
        <w:t xml:space="preserve"> </w:t>
      </w:r>
      <w:r>
        <w:rPr>
          <w:sz w:val="20"/>
        </w:rPr>
        <w:t>or offering an innovative product, process or service. These companies are often initially bankrolled by their entrepreneurial founders as they attempt to capitalize on developing a product or service for which they believe there is a demand.</w:t>
      </w:r>
    </w:p>
    <w:p w14:paraId="2F2BD4B6" w14:textId="77777777" w:rsidR="00E210F5" w:rsidRDefault="00E210F5">
      <w:pPr>
        <w:pStyle w:val="BodyText"/>
        <w:spacing w:before="4"/>
        <w:rPr>
          <w:sz w:val="31"/>
        </w:rPr>
      </w:pPr>
    </w:p>
    <w:p w14:paraId="3F8C284D" w14:textId="77777777" w:rsidR="00E210F5" w:rsidRDefault="008804C6">
      <w:pPr>
        <w:pStyle w:val="ListParagraph"/>
        <w:numPr>
          <w:ilvl w:val="0"/>
          <w:numId w:val="1"/>
        </w:numPr>
        <w:tabs>
          <w:tab w:val="left" w:pos="474"/>
        </w:tabs>
        <w:ind w:left="472" w:right="153"/>
        <w:rPr>
          <w:sz w:val="20"/>
        </w:rPr>
      </w:pPr>
      <w:r>
        <w:rPr>
          <w:sz w:val="20"/>
        </w:rPr>
        <w:t xml:space="preserve">Percentage of Award </w:t>
      </w:r>
      <w:proofErr w:type="spellStart"/>
      <w:r>
        <w:rPr>
          <w:sz w:val="20"/>
        </w:rPr>
        <w:t>Subawarded</w:t>
      </w:r>
      <w:proofErr w:type="spellEnd"/>
      <w:r>
        <w:rPr>
          <w:sz w:val="20"/>
        </w:rPr>
        <w:t xml:space="preserve">: If the proposed </w:t>
      </w:r>
      <w:proofErr w:type="spellStart"/>
      <w:r>
        <w:rPr>
          <w:sz w:val="20"/>
        </w:rPr>
        <w:t>Subawardee</w:t>
      </w:r>
      <w:proofErr w:type="spellEnd"/>
      <w:r>
        <w:rPr>
          <w:sz w:val="20"/>
        </w:rPr>
        <w:t xml:space="preserve"> will be receiving 50% or more of the total award amount, they should be flagged as high risk. The 50% threshold can apply either to either annual allocations or the total award</w:t>
      </w:r>
      <w:r>
        <w:rPr>
          <w:spacing w:val="-4"/>
          <w:sz w:val="20"/>
        </w:rPr>
        <w:t xml:space="preserve"> </w:t>
      </w:r>
      <w:r>
        <w:rPr>
          <w:sz w:val="20"/>
        </w:rPr>
        <w:t>amount.</w:t>
      </w:r>
    </w:p>
    <w:p w14:paraId="7EF2F82C" w14:textId="77777777" w:rsidR="00E210F5" w:rsidRPr="00EC2587" w:rsidRDefault="00E210F5">
      <w:pPr>
        <w:pStyle w:val="BodyText"/>
        <w:spacing w:before="5"/>
        <w:rPr>
          <w:sz w:val="16"/>
          <w:szCs w:val="16"/>
        </w:rPr>
      </w:pPr>
    </w:p>
    <w:p w14:paraId="4A27A6E5" w14:textId="77777777" w:rsidR="00E210F5" w:rsidRDefault="008804C6">
      <w:pPr>
        <w:pStyle w:val="ListParagraph"/>
        <w:numPr>
          <w:ilvl w:val="0"/>
          <w:numId w:val="1"/>
        </w:numPr>
        <w:tabs>
          <w:tab w:val="left" w:pos="473"/>
        </w:tabs>
        <w:ind w:left="472" w:right="98"/>
        <w:jc w:val="both"/>
        <w:rPr>
          <w:sz w:val="20"/>
        </w:rPr>
      </w:pPr>
      <w:r>
        <w:rPr>
          <w:sz w:val="20"/>
        </w:rPr>
        <w:t xml:space="preserve">Established Accounting Systems (EAS): Generally Accepted Accounting Principles (GAAP) defines the standard framework of guidelines for financial accounting used in any given jurisdiction; generally known as accounting standards. An EAS keeps track of financial transactions, including purchases (expenses), sales (invoices and income), liabilities (funding, accounts payable) and is capable of generating financial reports. The EAS can be automated, computer-based, or can use specialized software (QuickBooks, </w:t>
      </w:r>
      <w:proofErr w:type="spellStart"/>
      <w:r>
        <w:rPr>
          <w:sz w:val="20"/>
        </w:rPr>
        <w:t>BillQuick</w:t>
      </w:r>
      <w:proofErr w:type="spellEnd"/>
      <w:r>
        <w:rPr>
          <w:sz w:val="20"/>
        </w:rPr>
        <w:t>, Intacct, NetSuite, Microsoft Dynamics GP, etc.), or even cloud-based services. If the sponsor indicates the organization uses an accounting system as indicated here, or if all financial matters are handled by a Certified Public Accountant (CPA), that is evidence of an EAS.</w:t>
      </w:r>
    </w:p>
    <w:p w14:paraId="6E3A8338" w14:textId="77777777" w:rsidR="00E210F5" w:rsidRPr="00EC2587" w:rsidRDefault="00E210F5">
      <w:pPr>
        <w:pStyle w:val="BodyText"/>
        <w:spacing w:before="7"/>
        <w:rPr>
          <w:sz w:val="16"/>
          <w:szCs w:val="16"/>
        </w:rPr>
      </w:pPr>
    </w:p>
    <w:p w14:paraId="55C8E7FD" w14:textId="77777777" w:rsidR="00E210F5" w:rsidRDefault="008804C6">
      <w:pPr>
        <w:pStyle w:val="ListParagraph"/>
        <w:numPr>
          <w:ilvl w:val="0"/>
          <w:numId w:val="1"/>
        </w:numPr>
        <w:tabs>
          <w:tab w:val="left" w:pos="473"/>
        </w:tabs>
        <w:spacing w:before="1"/>
        <w:ind w:left="472" w:right="274"/>
        <w:rPr>
          <w:sz w:val="20"/>
        </w:rPr>
      </w:pPr>
      <w:r>
        <w:rPr>
          <w:sz w:val="20"/>
        </w:rPr>
        <w:t xml:space="preserve">Prior Experience with Subrecipient: SPS staff should verify information in the Subrecipient Portal </w:t>
      </w:r>
      <w:r>
        <w:rPr>
          <w:sz w:val="20"/>
        </w:rPr>
        <w:lastRenderedPageBreak/>
        <w:t>(under development) to confirm prior experience with the Subrecipient--and if the prior experience noted risks that should be mitigated in future</w:t>
      </w:r>
      <w:r>
        <w:rPr>
          <w:spacing w:val="-3"/>
          <w:sz w:val="20"/>
        </w:rPr>
        <w:t xml:space="preserve"> </w:t>
      </w:r>
      <w:proofErr w:type="spellStart"/>
      <w:r>
        <w:rPr>
          <w:sz w:val="20"/>
        </w:rPr>
        <w:t>subagreements</w:t>
      </w:r>
      <w:proofErr w:type="spellEnd"/>
      <w:r>
        <w:rPr>
          <w:sz w:val="20"/>
        </w:rPr>
        <w:t>.</w:t>
      </w:r>
    </w:p>
    <w:p w14:paraId="1778BD70" w14:textId="77777777" w:rsidR="00E210F5" w:rsidRPr="00EC2587" w:rsidRDefault="00E210F5">
      <w:pPr>
        <w:pStyle w:val="BodyText"/>
        <w:rPr>
          <w:sz w:val="16"/>
          <w:szCs w:val="16"/>
        </w:rPr>
      </w:pPr>
    </w:p>
    <w:p w14:paraId="0E083414" w14:textId="77777777" w:rsidR="00E210F5" w:rsidRDefault="008804C6">
      <w:pPr>
        <w:pStyle w:val="ListParagraph"/>
        <w:numPr>
          <w:ilvl w:val="0"/>
          <w:numId w:val="1"/>
        </w:numPr>
        <w:tabs>
          <w:tab w:val="left" w:pos="473"/>
        </w:tabs>
        <w:ind w:left="472" w:right="332"/>
        <w:rPr>
          <w:sz w:val="20"/>
        </w:rPr>
      </w:pPr>
      <w:r>
        <w:rPr>
          <w:sz w:val="20"/>
        </w:rPr>
        <w:t>Relationship of Subrecipient to PI and potential for Conflict of Interest:</w:t>
      </w:r>
      <w:r>
        <w:rPr>
          <w:spacing w:val="6"/>
          <w:sz w:val="20"/>
        </w:rPr>
        <w:t xml:space="preserve"> </w:t>
      </w:r>
      <w:r>
        <w:rPr>
          <w:sz w:val="20"/>
        </w:rPr>
        <w:t>Situations where the PI is in a relationship with an outside person or organization (including the subrecipient), and they are in a position to influence the University’s business, research or decisions in ways that could lead directly or indirectly to financial gain for the Employee,</w:t>
      </w:r>
      <w:r>
        <w:rPr>
          <w:spacing w:val="-4"/>
          <w:sz w:val="20"/>
        </w:rPr>
        <w:t xml:space="preserve"> </w:t>
      </w:r>
      <w:r>
        <w:rPr>
          <w:sz w:val="20"/>
        </w:rPr>
        <w:t>the</w:t>
      </w:r>
      <w:r>
        <w:rPr>
          <w:spacing w:val="-3"/>
          <w:sz w:val="20"/>
        </w:rPr>
        <w:t xml:space="preserve"> </w:t>
      </w:r>
      <w:r>
        <w:rPr>
          <w:sz w:val="20"/>
        </w:rPr>
        <w:t>Employee’s Dependents</w:t>
      </w:r>
      <w:r>
        <w:rPr>
          <w:spacing w:val="-2"/>
          <w:sz w:val="20"/>
        </w:rPr>
        <w:t xml:space="preserve"> </w:t>
      </w:r>
      <w:r>
        <w:rPr>
          <w:sz w:val="20"/>
        </w:rPr>
        <w:t>or</w:t>
      </w:r>
      <w:r>
        <w:rPr>
          <w:spacing w:val="-3"/>
          <w:sz w:val="20"/>
        </w:rPr>
        <w:t xml:space="preserve"> </w:t>
      </w:r>
      <w:r>
        <w:rPr>
          <w:sz w:val="20"/>
        </w:rPr>
        <w:t>give</w:t>
      </w:r>
      <w:r>
        <w:rPr>
          <w:spacing w:val="-3"/>
          <w:sz w:val="20"/>
        </w:rPr>
        <w:t xml:space="preserve"> </w:t>
      </w:r>
      <w:r>
        <w:rPr>
          <w:sz w:val="20"/>
        </w:rPr>
        <w:t>an</w:t>
      </w:r>
      <w:r>
        <w:rPr>
          <w:spacing w:val="-3"/>
          <w:sz w:val="20"/>
        </w:rPr>
        <w:t xml:space="preserve"> </w:t>
      </w:r>
      <w:r>
        <w:rPr>
          <w:sz w:val="20"/>
        </w:rPr>
        <w:t>improper</w:t>
      </w:r>
      <w:r>
        <w:rPr>
          <w:spacing w:val="-3"/>
          <w:sz w:val="20"/>
        </w:rPr>
        <w:t xml:space="preserve"> </w:t>
      </w:r>
      <w:r>
        <w:rPr>
          <w:sz w:val="20"/>
        </w:rPr>
        <w:t>advantage</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Subrecipient</w:t>
      </w:r>
      <w:r>
        <w:rPr>
          <w:spacing w:val="-3"/>
          <w:sz w:val="20"/>
        </w:rPr>
        <w:t xml:space="preserve"> </w:t>
      </w:r>
      <w:r>
        <w:rPr>
          <w:sz w:val="20"/>
        </w:rPr>
        <w:t>to</w:t>
      </w:r>
      <w:r>
        <w:rPr>
          <w:spacing w:val="-4"/>
          <w:sz w:val="20"/>
        </w:rPr>
        <w:t xml:space="preserve"> </w:t>
      </w:r>
      <w:r>
        <w:rPr>
          <w:sz w:val="20"/>
        </w:rPr>
        <w:t>the</w:t>
      </w:r>
      <w:r>
        <w:rPr>
          <w:spacing w:val="-3"/>
          <w:sz w:val="20"/>
        </w:rPr>
        <w:t xml:space="preserve"> </w:t>
      </w:r>
      <w:r>
        <w:rPr>
          <w:sz w:val="20"/>
        </w:rPr>
        <w:t>detriment</w:t>
      </w:r>
      <w:r>
        <w:rPr>
          <w:spacing w:val="-4"/>
          <w:sz w:val="20"/>
        </w:rPr>
        <w:t xml:space="preserve"> </w:t>
      </w:r>
      <w:r>
        <w:rPr>
          <w:sz w:val="20"/>
        </w:rPr>
        <w:t>of</w:t>
      </w:r>
      <w:r>
        <w:rPr>
          <w:spacing w:val="-1"/>
          <w:sz w:val="20"/>
        </w:rPr>
        <w:t xml:space="preserve"> </w:t>
      </w:r>
      <w:r>
        <w:rPr>
          <w:sz w:val="20"/>
        </w:rPr>
        <w:t>the University. This type of relationship must be disclosed by the PI so a management plan can be approved by the Conflicts</w:t>
      </w:r>
      <w:r>
        <w:rPr>
          <w:spacing w:val="-1"/>
          <w:sz w:val="20"/>
        </w:rPr>
        <w:t xml:space="preserve"> </w:t>
      </w:r>
      <w:r>
        <w:rPr>
          <w:sz w:val="20"/>
        </w:rPr>
        <w:t>Committee.</w:t>
      </w:r>
    </w:p>
    <w:p w14:paraId="6BC29431" w14:textId="77777777" w:rsidR="00E210F5" w:rsidRPr="00EC2587" w:rsidRDefault="00E210F5">
      <w:pPr>
        <w:pStyle w:val="BodyText"/>
        <w:rPr>
          <w:sz w:val="16"/>
          <w:szCs w:val="16"/>
        </w:rPr>
      </w:pPr>
    </w:p>
    <w:p w14:paraId="22BC0D18" w14:textId="77777777" w:rsidR="00E210F5" w:rsidRPr="00EB1D72" w:rsidRDefault="00EB1D72" w:rsidP="000F2E34">
      <w:pPr>
        <w:pStyle w:val="ListParagraph"/>
        <w:numPr>
          <w:ilvl w:val="1"/>
          <w:numId w:val="1"/>
        </w:numPr>
        <w:tabs>
          <w:tab w:val="left" w:pos="473"/>
          <w:tab w:val="left" w:pos="1193"/>
        </w:tabs>
        <w:ind w:left="1192" w:hanging="361"/>
        <w:rPr>
          <w:sz w:val="20"/>
        </w:rPr>
      </w:pPr>
      <w:r w:rsidRPr="00EB1D72">
        <w:rPr>
          <w:sz w:val="20"/>
        </w:rPr>
        <w:t>Regulatory</w:t>
      </w:r>
      <w:r w:rsidR="008804C6" w:rsidRPr="00EB1D72">
        <w:rPr>
          <w:spacing w:val="-1"/>
          <w:sz w:val="20"/>
        </w:rPr>
        <w:t xml:space="preserve"> </w:t>
      </w:r>
      <w:r w:rsidR="008804C6" w:rsidRPr="00EB1D72">
        <w:rPr>
          <w:sz w:val="20"/>
        </w:rPr>
        <w:t>Considerations</w:t>
      </w:r>
      <w:r w:rsidRPr="00EB1D72">
        <w:rPr>
          <w:sz w:val="20"/>
        </w:rPr>
        <w:t xml:space="preserve"> (Export Controls; Humans Subjects and Vertebrate</w:t>
      </w:r>
      <w:r w:rsidRPr="00EB1D72">
        <w:rPr>
          <w:spacing w:val="-4"/>
          <w:sz w:val="20"/>
        </w:rPr>
        <w:t xml:space="preserve"> </w:t>
      </w:r>
      <w:r w:rsidRPr="00EB1D72">
        <w:rPr>
          <w:sz w:val="20"/>
        </w:rPr>
        <w:t>Animals; Anti-Human Trafficking: Make sure which regulatory considerations is flagged in SAP</w:t>
      </w:r>
      <w:r>
        <w:rPr>
          <w:sz w:val="20"/>
        </w:rPr>
        <w:t>):</w:t>
      </w:r>
    </w:p>
    <w:p w14:paraId="234F1DC6" w14:textId="77777777" w:rsidR="00E210F5" w:rsidRPr="00EC2587" w:rsidRDefault="00E210F5">
      <w:pPr>
        <w:pStyle w:val="BodyText"/>
        <w:spacing w:before="11"/>
        <w:rPr>
          <w:sz w:val="12"/>
          <w:szCs w:val="12"/>
        </w:rPr>
      </w:pPr>
    </w:p>
    <w:p w14:paraId="2D35F66B" w14:textId="77777777" w:rsidR="00E210F5" w:rsidRDefault="008804C6">
      <w:pPr>
        <w:pStyle w:val="BodyText"/>
        <w:spacing w:before="77"/>
        <w:ind w:left="1193" w:right="168"/>
      </w:pPr>
      <w:r>
        <w:rPr>
          <w:u w:val="single"/>
        </w:rPr>
        <w:t>Export Controls:</w:t>
      </w:r>
      <w:r>
        <w:t xml:space="preserve"> Foreign institutions must not receive contracts for export-controlled work without explicit approval by the EVPRP Export Controls Office (exportcontrols@purdue.edu). Notify this office immediately and cease contract negotiation.</w:t>
      </w:r>
    </w:p>
    <w:p w14:paraId="0A3B3746" w14:textId="77777777" w:rsidR="00E210F5" w:rsidRDefault="008804C6">
      <w:pPr>
        <w:pStyle w:val="BodyText"/>
        <w:spacing w:before="119"/>
        <w:ind w:left="1193" w:right="259"/>
      </w:pPr>
      <w:r>
        <w:t>Entities who decline or attempt to negotiate terms related to restrictions on publication that were accepted by Purdue as the prime (check COEUS Special Review Tab and prime negotiation for assistance), must have any of these terms negotiated through Purdue as the prime recipient.</w:t>
      </w:r>
    </w:p>
    <w:p w14:paraId="1CC42816" w14:textId="77777777" w:rsidR="00E210F5" w:rsidRDefault="008804C6">
      <w:pPr>
        <w:pStyle w:val="BodyText"/>
        <w:spacing w:before="121"/>
        <w:ind w:left="1193"/>
      </w:pPr>
      <w:r>
        <w:t>Any party, person, institution, entity appearing on a federal debarment or other excluded party list via the SAM database or export.gov consolidated list must receive explicit approval by the EVPRP Export Control Office prior to a subcontract being issued.</w:t>
      </w:r>
    </w:p>
    <w:p w14:paraId="2C429B8D" w14:textId="77777777" w:rsidR="00E210F5" w:rsidRPr="00EC2587" w:rsidRDefault="00E210F5">
      <w:pPr>
        <w:pStyle w:val="BodyText"/>
        <w:spacing w:before="9"/>
        <w:rPr>
          <w:sz w:val="16"/>
          <w:szCs w:val="16"/>
        </w:rPr>
      </w:pPr>
    </w:p>
    <w:p w14:paraId="1256359C" w14:textId="77777777" w:rsidR="00E210F5" w:rsidRDefault="008804C6">
      <w:pPr>
        <w:pStyle w:val="BodyText"/>
        <w:ind w:left="1193" w:right="149"/>
      </w:pPr>
      <w:r>
        <w:rPr>
          <w:u w:val="single"/>
        </w:rPr>
        <w:t>Human Subjects:</w:t>
      </w:r>
      <w:r>
        <w:t xml:space="preserve"> Entities who do not provide a Department of Health and Human Services/Office of Human Research Protections (DHHS/OHRP) </w:t>
      </w:r>
      <w:proofErr w:type="spellStart"/>
      <w:r>
        <w:t>Federalwide</w:t>
      </w:r>
      <w:proofErr w:type="spellEnd"/>
      <w:r>
        <w:t xml:space="preserve"> Assurance (FWA) number as a part of the proposal submission process. An FWA is an agreement between the institution and the US Government to review human subjects research in a manner consistent with defined standards and recognized ethics.</w:t>
      </w:r>
    </w:p>
    <w:p w14:paraId="10535CCB" w14:textId="77777777" w:rsidR="00E210F5" w:rsidRDefault="008804C6">
      <w:pPr>
        <w:pStyle w:val="BodyText"/>
        <w:spacing w:before="2"/>
        <w:ind w:left="1193"/>
      </w:pPr>
      <w:r>
        <w:t>Without this confirmation, federal funds may not support human subjects research at the subrecipient institution. Note: Most major accredited domestic institutions will confirm this status; while foreign entities present more frequency of risk.</w:t>
      </w:r>
    </w:p>
    <w:p w14:paraId="691B9748" w14:textId="77777777" w:rsidR="00E210F5" w:rsidRPr="00EC2587" w:rsidRDefault="00E210F5">
      <w:pPr>
        <w:pStyle w:val="BodyText"/>
        <w:spacing w:before="8"/>
        <w:rPr>
          <w:sz w:val="16"/>
          <w:szCs w:val="16"/>
        </w:rPr>
      </w:pPr>
    </w:p>
    <w:p w14:paraId="6287A68E" w14:textId="77777777" w:rsidR="00E210F5" w:rsidRDefault="008804C6">
      <w:pPr>
        <w:pStyle w:val="BodyText"/>
        <w:ind w:left="1193" w:right="128"/>
      </w:pPr>
      <w:r>
        <w:rPr>
          <w:u w:val="single"/>
        </w:rPr>
        <w:t>Vertebrate Animals:</w:t>
      </w:r>
      <w:r>
        <w:t xml:space="preserve"> Entities who do not provide a Department of Health and Human Services/Office of Lab Animal</w:t>
      </w:r>
      <w:r>
        <w:rPr>
          <w:spacing w:val="-7"/>
        </w:rPr>
        <w:t xml:space="preserve"> </w:t>
      </w:r>
      <w:r>
        <w:t>Welfare</w:t>
      </w:r>
      <w:r>
        <w:rPr>
          <w:spacing w:val="-4"/>
        </w:rPr>
        <w:t xml:space="preserve"> </w:t>
      </w:r>
      <w:r>
        <w:t>(DHHS/OLAW)</w:t>
      </w:r>
      <w:r>
        <w:rPr>
          <w:spacing w:val="-4"/>
        </w:rPr>
        <w:t xml:space="preserve"> </w:t>
      </w:r>
      <w:proofErr w:type="spellStart"/>
      <w:r>
        <w:t>Animalwide</w:t>
      </w:r>
      <w:proofErr w:type="spellEnd"/>
      <w:r>
        <w:rPr>
          <w:spacing w:val="-1"/>
        </w:rPr>
        <w:t xml:space="preserve"> </w:t>
      </w:r>
      <w:r>
        <w:t>Assurance</w:t>
      </w:r>
      <w:r>
        <w:rPr>
          <w:spacing w:val="-4"/>
        </w:rPr>
        <w:t xml:space="preserve"> </w:t>
      </w:r>
      <w:r>
        <w:t>(AWA)</w:t>
      </w:r>
      <w:r>
        <w:rPr>
          <w:spacing w:val="-3"/>
        </w:rPr>
        <w:t xml:space="preserve"> </w:t>
      </w:r>
      <w:r>
        <w:t>number</w:t>
      </w:r>
      <w:r>
        <w:rPr>
          <w:spacing w:val="-3"/>
        </w:rPr>
        <w:t xml:space="preserve"> </w:t>
      </w:r>
      <w:r>
        <w:t>as</w:t>
      </w:r>
      <w:r>
        <w:rPr>
          <w:spacing w:val="-3"/>
        </w:rPr>
        <w:t xml:space="preserve"> </w:t>
      </w:r>
      <w:r>
        <w:t>a</w:t>
      </w:r>
      <w:r>
        <w:rPr>
          <w:spacing w:val="-4"/>
        </w:rPr>
        <w:t xml:space="preserve"> </w:t>
      </w:r>
      <w:r>
        <w:t>part</w:t>
      </w:r>
      <w:r>
        <w:rPr>
          <w:spacing w:val="-3"/>
        </w:rPr>
        <w:t xml:space="preserve"> </w:t>
      </w:r>
      <w:r>
        <w:t>of</w:t>
      </w:r>
      <w:r>
        <w:rPr>
          <w:spacing w:val="-2"/>
        </w:rPr>
        <w:t xml:space="preserve"> </w:t>
      </w:r>
      <w:r>
        <w:t>the</w:t>
      </w:r>
      <w:r>
        <w:rPr>
          <w:spacing w:val="-4"/>
        </w:rPr>
        <w:t xml:space="preserve"> </w:t>
      </w:r>
      <w:r>
        <w:t>proposal</w:t>
      </w:r>
      <w:r>
        <w:rPr>
          <w:spacing w:val="-3"/>
        </w:rPr>
        <w:t xml:space="preserve"> </w:t>
      </w:r>
      <w:r>
        <w:t xml:space="preserve">submission process. An AWA is an agreement between the institution and the US Government to review research with vertebrate animals in a manner consistent with defined standards and recognized ethics. Without this confirmation, federal funds may not support research with vertebrate animals at the subrecipient institution. Note: Most major accredited domestic institutions will confirm this status; while foreign entities </w:t>
      </w:r>
      <w:r>
        <w:lastRenderedPageBreak/>
        <w:t>present more frequency of</w:t>
      </w:r>
      <w:r>
        <w:rPr>
          <w:spacing w:val="-6"/>
        </w:rPr>
        <w:t xml:space="preserve"> </w:t>
      </w:r>
      <w:r>
        <w:t>risk.</w:t>
      </w:r>
    </w:p>
    <w:p w14:paraId="090D8A07" w14:textId="77777777" w:rsidR="00E210F5" w:rsidRPr="00EC2587" w:rsidRDefault="00E210F5">
      <w:pPr>
        <w:pStyle w:val="BodyText"/>
        <w:spacing w:before="4"/>
        <w:rPr>
          <w:sz w:val="16"/>
          <w:szCs w:val="16"/>
        </w:rPr>
      </w:pPr>
    </w:p>
    <w:p w14:paraId="6774EC5B" w14:textId="77777777" w:rsidR="00E210F5" w:rsidRDefault="00EB1D72" w:rsidP="00EC2587">
      <w:pPr>
        <w:pStyle w:val="ListParagraph"/>
        <w:numPr>
          <w:ilvl w:val="1"/>
          <w:numId w:val="1"/>
        </w:numPr>
        <w:tabs>
          <w:tab w:val="left" w:pos="1199"/>
        </w:tabs>
        <w:ind w:left="1195" w:right="1411"/>
        <w:contextualSpacing/>
        <w:rPr>
          <w:sz w:val="20"/>
        </w:rPr>
      </w:pPr>
      <w:r>
        <w:rPr>
          <w:sz w:val="20"/>
        </w:rPr>
        <w:t>Anti-</w:t>
      </w:r>
      <w:r w:rsidR="008804C6">
        <w:rPr>
          <w:sz w:val="20"/>
        </w:rPr>
        <w:t>Human Trafficking</w:t>
      </w:r>
      <w:hyperlink r:id="rId9">
        <w:r w:rsidR="008804C6">
          <w:rPr>
            <w:color w:val="0000FF"/>
            <w:sz w:val="20"/>
            <w:u w:val="single" w:color="0000FF"/>
          </w:rPr>
          <w:t xml:space="preserve"> </w:t>
        </w:r>
        <w:r w:rsidR="008804C6">
          <w:rPr>
            <w:color w:val="0000FF"/>
            <w:w w:val="95"/>
            <w:sz w:val="20"/>
            <w:u w:val="single" w:color="0000FF"/>
          </w:rPr>
          <w:t>https://www.purdue.edu/business/sps/preaward/menu/1.gettingstarted/pi_role/trafficking.html</w:t>
        </w:r>
      </w:hyperlink>
    </w:p>
    <w:p w14:paraId="0B9C59A5" w14:textId="77777777" w:rsidR="00E210F5" w:rsidRPr="00EC2587" w:rsidRDefault="00E210F5">
      <w:pPr>
        <w:pStyle w:val="BodyText"/>
        <w:spacing w:before="2"/>
        <w:rPr>
          <w:sz w:val="12"/>
          <w:szCs w:val="12"/>
        </w:rPr>
      </w:pPr>
    </w:p>
    <w:p w14:paraId="0827C8B7" w14:textId="77777777" w:rsidR="00E210F5" w:rsidRDefault="008804C6">
      <w:pPr>
        <w:pStyle w:val="BodyText"/>
        <w:spacing w:before="93"/>
        <w:ind w:left="1179" w:right="259"/>
      </w:pPr>
      <w:r>
        <w:t>Human trafficking is defined as the act of recruiting, harboring, transporting, providing, or obtaining a person for labor services or commercial sex acts through force, fraud, or coercion, for the purpose of exploitation, involuntary servitude, peonage, debt bondage or slavery. It includes any commercial sex involving a minor.</w:t>
      </w:r>
    </w:p>
    <w:p w14:paraId="794BC9AD" w14:textId="77777777" w:rsidR="00E210F5" w:rsidRPr="00EC2587" w:rsidRDefault="00E210F5">
      <w:pPr>
        <w:pStyle w:val="BodyText"/>
        <w:spacing w:before="3"/>
        <w:rPr>
          <w:sz w:val="12"/>
          <w:szCs w:val="12"/>
        </w:rPr>
      </w:pPr>
    </w:p>
    <w:p w14:paraId="6B84F0B3" w14:textId="77777777" w:rsidR="00E210F5" w:rsidRDefault="008804C6">
      <w:pPr>
        <w:pStyle w:val="BodyText"/>
        <w:ind w:left="1179" w:right="273"/>
      </w:pPr>
      <w:r>
        <w:t>Purdue University complies with the Federal Acquisition Regulation (FAR) for Combating Trafficking in Persons, Subpart 22.1703(a), in which “the United State Government has adopted a zero tolerance policy regarding trafficking in persons.”</w:t>
      </w:r>
    </w:p>
    <w:p w14:paraId="6612F0CC" w14:textId="77777777" w:rsidR="00EB1D72" w:rsidRPr="00EC2587" w:rsidRDefault="00EB1D72">
      <w:pPr>
        <w:pStyle w:val="BodyText"/>
        <w:ind w:left="1179" w:right="273"/>
        <w:rPr>
          <w:sz w:val="16"/>
          <w:szCs w:val="16"/>
        </w:rPr>
      </w:pPr>
    </w:p>
    <w:p w14:paraId="7FAC9FFE" w14:textId="77777777" w:rsidR="00E210F5" w:rsidRDefault="008804C6" w:rsidP="00EB1D72">
      <w:pPr>
        <w:spacing w:before="77"/>
        <w:ind w:left="1181"/>
        <w:contextualSpacing/>
        <w:rPr>
          <w:b/>
          <w:sz w:val="20"/>
        </w:rPr>
      </w:pPr>
      <w:r>
        <w:rPr>
          <w:sz w:val="20"/>
        </w:rPr>
        <w:t xml:space="preserve">Purdue University, in accordance with Federal and State laws prohibits human trafficking and has a zero tolerance policy. </w:t>
      </w:r>
      <w:r>
        <w:rPr>
          <w:b/>
          <w:sz w:val="20"/>
        </w:rPr>
        <w:t xml:space="preserve">In all federal contract activities to which Purdue University is a party, and the estimated value of the supplies acquired or services required to be performed outside the United States exceeds $500,000, it is required by federal law that an anti-trafficking compliance program be in place for the university and any subcontractors or </w:t>
      </w:r>
      <w:proofErr w:type="spellStart"/>
      <w:r>
        <w:rPr>
          <w:b/>
          <w:sz w:val="20"/>
        </w:rPr>
        <w:t>subawardees</w:t>
      </w:r>
      <w:proofErr w:type="spellEnd"/>
      <w:r>
        <w:rPr>
          <w:b/>
          <w:sz w:val="20"/>
        </w:rPr>
        <w:t xml:space="preserve"> to prevent activities described above.</w:t>
      </w:r>
    </w:p>
    <w:p w14:paraId="1C82C3F8" w14:textId="77777777" w:rsidR="00EB1D72" w:rsidRPr="00EC2587" w:rsidRDefault="00EB1D72">
      <w:pPr>
        <w:spacing w:before="77"/>
        <w:ind w:left="1179"/>
        <w:rPr>
          <w:b/>
          <w:sz w:val="16"/>
          <w:szCs w:val="16"/>
        </w:rPr>
      </w:pPr>
    </w:p>
    <w:p w14:paraId="5FA4BBC3" w14:textId="77777777" w:rsidR="00EB1D72" w:rsidRDefault="00EB1D72" w:rsidP="00EB1D72">
      <w:pPr>
        <w:pStyle w:val="ListParagraph"/>
        <w:numPr>
          <w:ilvl w:val="0"/>
          <w:numId w:val="2"/>
        </w:numPr>
        <w:tabs>
          <w:tab w:val="left" w:pos="1194"/>
        </w:tabs>
        <w:spacing w:before="1"/>
        <w:ind w:right="4752"/>
        <w:contextualSpacing/>
        <w:rPr>
          <w:sz w:val="20"/>
        </w:rPr>
      </w:pPr>
      <w:r>
        <w:rPr>
          <w:sz w:val="20"/>
        </w:rPr>
        <w:t xml:space="preserve">Special Considerations: </w:t>
      </w:r>
    </w:p>
    <w:p w14:paraId="4DC40A4C" w14:textId="77777777" w:rsidR="00EB1D72" w:rsidRPr="00EB1D72" w:rsidRDefault="00EB1D72" w:rsidP="00EB1D72">
      <w:pPr>
        <w:pStyle w:val="ListParagraph"/>
        <w:numPr>
          <w:ilvl w:val="1"/>
          <w:numId w:val="2"/>
        </w:numPr>
        <w:tabs>
          <w:tab w:val="left" w:pos="1194"/>
        </w:tabs>
        <w:spacing w:before="1"/>
        <w:ind w:right="1411"/>
        <w:contextualSpacing/>
        <w:rPr>
          <w:sz w:val="20"/>
        </w:rPr>
      </w:pPr>
      <w:r w:rsidRPr="00EB1D72">
        <w:rPr>
          <w:sz w:val="20"/>
        </w:rPr>
        <w:t>Unique T</w:t>
      </w:r>
      <w:r>
        <w:rPr>
          <w:sz w:val="20"/>
        </w:rPr>
        <w:t>erms and Conditions in the Prime Agreement.</w:t>
      </w:r>
      <w:r w:rsidRPr="00EB1D72">
        <w:rPr>
          <w:sz w:val="20"/>
        </w:rPr>
        <w:t xml:space="preserve"> These </w:t>
      </w:r>
      <w:r w:rsidRPr="00EB1D72">
        <w:rPr>
          <w:spacing w:val="2"/>
          <w:sz w:val="20"/>
        </w:rPr>
        <w:t xml:space="preserve">may </w:t>
      </w:r>
      <w:r w:rsidRPr="00EB1D72">
        <w:rPr>
          <w:sz w:val="20"/>
        </w:rPr>
        <w:t>include, but are not limited</w:t>
      </w:r>
      <w:r w:rsidRPr="00EB1D72">
        <w:rPr>
          <w:spacing w:val="-16"/>
          <w:sz w:val="20"/>
        </w:rPr>
        <w:t xml:space="preserve"> </w:t>
      </w:r>
      <w:r w:rsidRPr="00EB1D72">
        <w:rPr>
          <w:sz w:val="20"/>
        </w:rPr>
        <w:t>to:</w:t>
      </w:r>
    </w:p>
    <w:p w14:paraId="74CBD302" w14:textId="77777777" w:rsidR="00EB1D72" w:rsidRDefault="00EB1D72" w:rsidP="00EB1D72">
      <w:pPr>
        <w:pStyle w:val="ListParagraph"/>
        <w:numPr>
          <w:ilvl w:val="2"/>
          <w:numId w:val="1"/>
        </w:numPr>
        <w:tabs>
          <w:tab w:val="left" w:pos="1919"/>
        </w:tabs>
        <w:spacing w:line="227" w:lineRule="exact"/>
        <w:ind w:hanging="280"/>
        <w:jc w:val="left"/>
        <w:rPr>
          <w:sz w:val="20"/>
        </w:rPr>
      </w:pPr>
      <w:r>
        <w:rPr>
          <w:sz w:val="20"/>
        </w:rPr>
        <w:t>Overhead/fee submitted directly to sponsor due to proprietary</w:t>
      </w:r>
      <w:r>
        <w:rPr>
          <w:spacing w:val="-15"/>
          <w:sz w:val="20"/>
        </w:rPr>
        <w:t xml:space="preserve"> </w:t>
      </w:r>
      <w:r>
        <w:rPr>
          <w:sz w:val="20"/>
        </w:rPr>
        <w:t>reasons.</w:t>
      </w:r>
    </w:p>
    <w:p w14:paraId="4A6AE5EB" w14:textId="77777777" w:rsidR="00EB1D72" w:rsidRDefault="00EB1D72" w:rsidP="00EB1D72">
      <w:pPr>
        <w:pStyle w:val="ListParagraph"/>
        <w:numPr>
          <w:ilvl w:val="2"/>
          <w:numId w:val="1"/>
        </w:numPr>
        <w:tabs>
          <w:tab w:val="left" w:pos="1919"/>
        </w:tabs>
        <w:spacing w:line="229" w:lineRule="exact"/>
        <w:ind w:hanging="325"/>
        <w:jc w:val="left"/>
        <w:rPr>
          <w:sz w:val="20"/>
        </w:rPr>
      </w:pPr>
      <w:r>
        <w:rPr>
          <w:sz w:val="20"/>
        </w:rPr>
        <w:t>Advance payment fee Requirement (seen when subbing to DOE labs, for example, requiring</w:t>
      </w:r>
      <w:r>
        <w:rPr>
          <w:spacing w:val="-23"/>
          <w:sz w:val="20"/>
        </w:rPr>
        <w:t xml:space="preserve"> </w:t>
      </w:r>
      <w:r>
        <w:rPr>
          <w:sz w:val="20"/>
        </w:rPr>
        <w:t>a</w:t>
      </w:r>
    </w:p>
    <w:p w14:paraId="02033B52" w14:textId="77777777" w:rsidR="00EB1D72" w:rsidRDefault="00EB1D72" w:rsidP="00EB1D72">
      <w:pPr>
        <w:pStyle w:val="BodyText"/>
        <w:ind w:left="1918"/>
      </w:pPr>
      <w:r>
        <w:t>$50,000 advance fee).</w:t>
      </w:r>
    </w:p>
    <w:p w14:paraId="51076F30" w14:textId="77777777" w:rsidR="00EB1D72" w:rsidRDefault="00EB1D72" w:rsidP="00EB1D72">
      <w:pPr>
        <w:pStyle w:val="ListParagraph"/>
        <w:numPr>
          <w:ilvl w:val="2"/>
          <w:numId w:val="1"/>
        </w:numPr>
        <w:tabs>
          <w:tab w:val="left" w:pos="1919"/>
        </w:tabs>
        <w:spacing w:before="1"/>
        <w:ind w:hanging="368"/>
        <w:jc w:val="left"/>
        <w:rPr>
          <w:sz w:val="20"/>
        </w:rPr>
      </w:pPr>
      <w:r>
        <w:rPr>
          <w:sz w:val="20"/>
        </w:rPr>
        <w:t>“Unique Reporting” – such as Manpower reporting.</w:t>
      </w:r>
    </w:p>
    <w:p w14:paraId="25415956" w14:textId="77777777" w:rsidR="00EB1D72" w:rsidRDefault="00EB1D72" w:rsidP="00EB1D72">
      <w:pPr>
        <w:pStyle w:val="ListParagraph"/>
        <w:numPr>
          <w:ilvl w:val="2"/>
          <w:numId w:val="1"/>
        </w:numPr>
        <w:tabs>
          <w:tab w:val="left" w:pos="1919"/>
        </w:tabs>
        <w:ind w:hanging="380"/>
        <w:jc w:val="left"/>
        <w:rPr>
          <w:sz w:val="20"/>
        </w:rPr>
      </w:pPr>
      <w:r>
        <w:rPr>
          <w:sz w:val="20"/>
        </w:rPr>
        <w:t>Fee vs IDC</w:t>
      </w:r>
      <w:r>
        <w:rPr>
          <w:spacing w:val="-3"/>
          <w:sz w:val="20"/>
        </w:rPr>
        <w:t xml:space="preserve"> </w:t>
      </w:r>
      <w:r>
        <w:rPr>
          <w:sz w:val="20"/>
        </w:rPr>
        <w:t>rate.</w:t>
      </w:r>
    </w:p>
    <w:p w14:paraId="570CFB01" w14:textId="77777777" w:rsidR="00EB1D72" w:rsidRDefault="00EB1D72" w:rsidP="00EB1D72">
      <w:pPr>
        <w:pStyle w:val="ListParagraph"/>
        <w:numPr>
          <w:ilvl w:val="2"/>
          <w:numId w:val="1"/>
        </w:numPr>
        <w:tabs>
          <w:tab w:val="left" w:pos="1919"/>
        </w:tabs>
        <w:ind w:hanging="335"/>
        <w:jc w:val="left"/>
        <w:rPr>
          <w:sz w:val="20"/>
        </w:rPr>
      </w:pPr>
      <w:r>
        <w:rPr>
          <w:sz w:val="20"/>
        </w:rPr>
        <w:t>Disallowance of fringes and/or fee</w:t>
      </w:r>
      <w:r>
        <w:rPr>
          <w:spacing w:val="-1"/>
          <w:sz w:val="20"/>
        </w:rPr>
        <w:t xml:space="preserve"> </w:t>
      </w:r>
      <w:r>
        <w:rPr>
          <w:sz w:val="20"/>
        </w:rPr>
        <w:t>remits.</w:t>
      </w:r>
    </w:p>
    <w:p w14:paraId="28062923" w14:textId="77777777" w:rsidR="00EB1D72" w:rsidRDefault="00EB1D72" w:rsidP="00EB1D72">
      <w:pPr>
        <w:pStyle w:val="ListParagraph"/>
        <w:numPr>
          <w:ilvl w:val="2"/>
          <w:numId w:val="1"/>
        </w:numPr>
        <w:tabs>
          <w:tab w:val="left" w:pos="1919"/>
        </w:tabs>
        <w:spacing w:before="1" w:line="229" w:lineRule="exact"/>
        <w:ind w:hanging="380"/>
        <w:jc w:val="left"/>
        <w:rPr>
          <w:sz w:val="20"/>
        </w:rPr>
      </w:pPr>
      <w:r>
        <w:rPr>
          <w:sz w:val="20"/>
        </w:rPr>
        <w:t>Milestone payment schedule, especially if final payment is large percentage of total award</w:t>
      </w:r>
      <w:r>
        <w:rPr>
          <w:spacing w:val="-39"/>
          <w:sz w:val="20"/>
        </w:rPr>
        <w:t xml:space="preserve"> </w:t>
      </w:r>
      <w:r>
        <w:rPr>
          <w:sz w:val="20"/>
        </w:rPr>
        <w:t>amount.</w:t>
      </w:r>
    </w:p>
    <w:p w14:paraId="0F64DA0B" w14:textId="77777777" w:rsidR="00EB1D72" w:rsidRDefault="00EB1D72" w:rsidP="00EB1D72">
      <w:pPr>
        <w:pStyle w:val="ListParagraph"/>
        <w:numPr>
          <w:ilvl w:val="2"/>
          <w:numId w:val="1"/>
        </w:numPr>
        <w:tabs>
          <w:tab w:val="left" w:pos="1919"/>
        </w:tabs>
        <w:ind w:right="122" w:hanging="425"/>
        <w:jc w:val="left"/>
        <w:rPr>
          <w:sz w:val="20"/>
        </w:rPr>
      </w:pPr>
      <w:r>
        <w:rPr>
          <w:sz w:val="20"/>
        </w:rPr>
        <w:t>Approval of milestone reports and the final report before payment will be issued. This happens rarely</w:t>
      </w:r>
      <w:r>
        <w:rPr>
          <w:spacing w:val="-4"/>
          <w:sz w:val="20"/>
        </w:rPr>
        <w:t xml:space="preserve"> </w:t>
      </w:r>
      <w:r>
        <w:rPr>
          <w:sz w:val="20"/>
        </w:rPr>
        <w:t>but</w:t>
      </w:r>
      <w:r>
        <w:rPr>
          <w:spacing w:val="-1"/>
          <w:sz w:val="20"/>
        </w:rPr>
        <w:t xml:space="preserve"> </w:t>
      </w:r>
      <w:r>
        <w:rPr>
          <w:sz w:val="20"/>
        </w:rPr>
        <w:t>is</w:t>
      </w:r>
      <w:r>
        <w:rPr>
          <w:spacing w:val="-2"/>
          <w:sz w:val="20"/>
        </w:rPr>
        <w:t xml:space="preserve"> </w:t>
      </w:r>
      <w:r>
        <w:rPr>
          <w:sz w:val="20"/>
        </w:rPr>
        <w:t>difficult</w:t>
      </w:r>
      <w:r>
        <w:rPr>
          <w:spacing w:val="-3"/>
          <w:sz w:val="20"/>
        </w:rPr>
        <w:t xml:space="preserve"> </w:t>
      </w:r>
      <w:r>
        <w:rPr>
          <w:sz w:val="20"/>
        </w:rPr>
        <w:t>to</w:t>
      </w:r>
      <w:r>
        <w:rPr>
          <w:spacing w:val="-3"/>
          <w:sz w:val="20"/>
        </w:rPr>
        <w:t xml:space="preserve"> </w:t>
      </w:r>
      <w:r>
        <w:rPr>
          <w:sz w:val="20"/>
        </w:rPr>
        <w:t>deal</w:t>
      </w:r>
      <w:r>
        <w:rPr>
          <w:spacing w:val="-1"/>
          <w:sz w:val="20"/>
        </w:rPr>
        <w:t xml:space="preserve"> </w:t>
      </w:r>
      <w:r>
        <w:rPr>
          <w:sz w:val="20"/>
        </w:rPr>
        <w:t>with</w:t>
      </w:r>
      <w:r>
        <w:rPr>
          <w:spacing w:val="-1"/>
          <w:sz w:val="20"/>
        </w:rPr>
        <w:t xml:space="preserve"> </w:t>
      </w:r>
      <w:r>
        <w:rPr>
          <w:sz w:val="20"/>
        </w:rPr>
        <w:t>as</w:t>
      </w:r>
      <w:r>
        <w:rPr>
          <w:spacing w:val="-2"/>
          <w:sz w:val="20"/>
        </w:rPr>
        <w:t xml:space="preserve"> </w:t>
      </w:r>
      <w:r>
        <w:rPr>
          <w:sz w:val="20"/>
        </w:rPr>
        <w:t>they</w:t>
      </w:r>
      <w:r>
        <w:rPr>
          <w:spacing w:val="-6"/>
          <w:sz w:val="20"/>
        </w:rPr>
        <w:t xml:space="preserve"> </w:t>
      </w:r>
      <w:r>
        <w:rPr>
          <w:spacing w:val="2"/>
          <w:sz w:val="20"/>
        </w:rPr>
        <w:t>may</w:t>
      </w:r>
      <w:r>
        <w:rPr>
          <w:spacing w:val="-6"/>
          <w:sz w:val="20"/>
        </w:rPr>
        <w:t xml:space="preserve"> </w:t>
      </w:r>
      <w:r>
        <w:rPr>
          <w:sz w:val="20"/>
        </w:rPr>
        <w:t>have</w:t>
      </w:r>
      <w:r>
        <w:rPr>
          <w:spacing w:val="-3"/>
          <w:sz w:val="20"/>
        </w:rPr>
        <w:t xml:space="preserve"> </w:t>
      </w:r>
      <w:r>
        <w:rPr>
          <w:sz w:val="20"/>
        </w:rPr>
        <w:t>the</w:t>
      </w:r>
      <w:r>
        <w:rPr>
          <w:spacing w:val="-1"/>
          <w:sz w:val="20"/>
        </w:rPr>
        <w:t xml:space="preserve"> </w:t>
      </w:r>
      <w:r>
        <w:rPr>
          <w:sz w:val="20"/>
        </w:rPr>
        <w:t>PI</w:t>
      </w:r>
      <w:r>
        <w:rPr>
          <w:spacing w:val="-3"/>
          <w:sz w:val="20"/>
        </w:rPr>
        <w:t xml:space="preserve"> </w:t>
      </w:r>
      <w:r>
        <w:rPr>
          <w:sz w:val="20"/>
        </w:rPr>
        <w:t>revise</w:t>
      </w:r>
      <w:r>
        <w:rPr>
          <w:spacing w:val="-1"/>
          <w:sz w:val="20"/>
        </w:rPr>
        <w:t xml:space="preserve"> </w:t>
      </w:r>
      <w:r>
        <w:rPr>
          <w:sz w:val="20"/>
        </w:rPr>
        <w:t>the</w:t>
      </w:r>
      <w:r>
        <w:rPr>
          <w:spacing w:val="-3"/>
          <w:sz w:val="20"/>
        </w:rPr>
        <w:t xml:space="preserve"> </w:t>
      </w:r>
      <w:r>
        <w:rPr>
          <w:sz w:val="20"/>
        </w:rPr>
        <w:t>report</w:t>
      </w:r>
      <w:r>
        <w:rPr>
          <w:spacing w:val="-3"/>
          <w:sz w:val="20"/>
        </w:rPr>
        <w:t xml:space="preserve"> </w:t>
      </w:r>
      <w:r>
        <w:rPr>
          <w:sz w:val="20"/>
        </w:rPr>
        <w:t>multiple</w:t>
      </w:r>
      <w:r>
        <w:rPr>
          <w:spacing w:val="-1"/>
          <w:sz w:val="20"/>
        </w:rPr>
        <w:t xml:space="preserve"> </w:t>
      </w:r>
      <w:r>
        <w:rPr>
          <w:sz w:val="20"/>
        </w:rPr>
        <w:t>times</w:t>
      </w:r>
      <w:r>
        <w:rPr>
          <w:spacing w:val="-2"/>
          <w:sz w:val="20"/>
        </w:rPr>
        <w:t xml:space="preserve"> </w:t>
      </w:r>
      <w:r>
        <w:rPr>
          <w:sz w:val="20"/>
        </w:rPr>
        <w:t>until</w:t>
      </w:r>
      <w:r>
        <w:rPr>
          <w:spacing w:val="-1"/>
          <w:sz w:val="20"/>
        </w:rPr>
        <w:t xml:space="preserve"> </w:t>
      </w:r>
      <w:r>
        <w:rPr>
          <w:sz w:val="20"/>
        </w:rPr>
        <w:t>it</w:t>
      </w:r>
      <w:r>
        <w:rPr>
          <w:spacing w:val="-1"/>
          <w:sz w:val="20"/>
        </w:rPr>
        <w:t xml:space="preserve"> </w:t>
      </w:r>
      <w:r>
        <w:rPr>
          <w:sz w:val="20"/>
        </w:rPr>
        <w:t>is</w:t>
      </w:r>
      <w:r>
        <w:rPr>
          <w:spacing w:val="-2"/>
          <w:sz w:val="20"/>
        </w:rPr>
        <w:t xml:space="preserve"> </w:t>
      </w:r>
      <w:r>
        <w:rPr>
          <w:sz w:val="20"/>
        </w:rPr>
        <w:t>to their “liking” before payment is</w:t>
      </w:r>
      <w:r>
        <w:rPr>
          <w:spacing w:val="-3"/>
          <w:sz w:val="20"/>
        </w:rPr>
        <w:t xml:space="preserve"> </w:t>
      </w:r>
      <w:r>
        <w:rPr>
          <w:sz w:val="20"/>
        </w:rPr>
        <w:t>issued.</w:t>
      </w:r>
    </w:p>
    <w:p w14:paraId="2B0D7F8F" w14:textId="77777777" w:rsidR="00EB1D72" w:rsidRDefault="00EB1D72" w:rsidP="00EB1D72">
      <w:pPr>
        <w:pStyle w:val="ListParagraph"/>
        <w:numPr>
          <w:ilvl w:val="2"/>
          <w:numId w:val="1"/>
        </w:numPr>
        <w:tabs>
          <w:tab w:val="left" w:pos="1920"/>
        </w:tabs>
        <w:spacing w:before="1"/>
        <w:ind w:left="1919" w:right="156" w:hanging="469"/>
        <w:jc w:val="left"/>
        <w:rPr>
          <w:sz w:val="20"/>
        </w:rPr>
      </w:pPr>
      <w:r>
        <w:rPr>
          <w:sz w:val="20"/>
        </w:rPr>
        <w:t>Unique</w:t>
      </w:r>
      <w:r>
        <w:rPr>
          <w:spacing w:val="-5"/>
          <w:sz w:val="20"/>
        </w:rPr>
        <w:t xml:space="preserve"> </w:t>
      </w:r>
      <w:r>
        <w:rPr>
          <w:sz w:val="20"/>
        </w:rPr>
        <w:t>reporting</w:t>
      </w:r>
      <w:r>
        <w:rPr>
          <w:spacing w:val="-3"/>
          <w:sz w:val="20"/>
        </w:rPr>
        <w:t xml:space="preserve"> </w:t>
      </w:r>
      <w:r>
        <w:rPr>
          <w:sz w:val="20"/>
        </w:rPr>
        <w:t>issues—for</w:t>
      </w:r>
      <w:r>
        <w:rPr>
          <w:spacing w:val="-3"/>
          <w:sz w:val="20"/>
        </w:rPr>
        <w:t xml:space="preserve"> </w:t>
      </w:r>
      <w:r>
        <w:rPr>
          <w:sz w:val="20"/>
        </w:rPr>
        <w:t>example,</w:t>
      </w:r>
      <w:r>
        <w:rPr>
          <w:spacing w:val="-5"/>
          <w:sz w:val="20"/>
        </w:rPr>
        <w:t xml:space="preserve"> </w:t>
      </w:r>
      <w:r>
        <w:rPr>
          <w:sz w:val="20"/>
        </w:rPr>
        <w:t>mandatory</w:t>
      </w:r>
      <w:r>
        <w:rPr>
          <w:spacing w:val="-7"/>
          <w:sz w:val="20"/>
        </w:rPr>
        <w:t xml:space="preserve"> </w:t>
      </w:r>
      <w:r>
        <w:rPr>
          <w:sz w:val="20"/>
        </w:rPr>
        <w:t>reporting</w:t>
      </w:r>
      <w:r>
        <w:rPr>
          <w:spacing w:val="-3"/>
          <w:sz w:val="20"/>
        </w:rPr>
        <w:t xml:space="preserve"> </w:t>
      </w:r>
      <w:r>
        <w:rPr>
          <w:sz w:val="20"/>
        </w:rPr>
        <w:t>forms</w:t>
      </w:r>
      <w:r>
        <w:rPr>
          <w:spacing w:val="-3"/>
          <w:sz w:val="20"/>
        </w:rPr>
        <w:t xml:space="preserve"> </w:t>
      </w:r>
      <w:r>
        <w:rPr>
          <w:sz w:val="20"/>
        </w:rPr>
        <w:t>where</w:t>
      </w:r>
      <w:r>
        <w:rPr>
          <w:spacing w:val="-3"/>
          <w:sz w:val="20"/>
        </w:rPr>
        <w:t xml:space="preserve"> </w:t>
      </w:r>
      <w:r>
        <w:rPr>
          <w:sz w:val="20"/>
        </w:rPr>
        <w:t>expense</w:t>
      </w:r>
      <w:r>
        <w:rPr>
          <w:spacing w:val="-4"/>
          <w:sz w:val="20"/>
        </w:rPr>
        <w:t xml:space="preserve"> </w:t>
      </w:r>
      <w:r>
        <w:rPr>
          <w:sz w:val="20"/>
        </w:rPr>
        <w:t>line</w:t>
      </w:r>
      <w:r>
        <w:rPr>
          <w:spacing w:val="-3"/>
          <w:sz w:val="20"/>
        </w:rPr>
        <w:t xml:space="preserve"> </w:t>
      </w:r>
      <w:r>
        <w:rPr>
          <w:sz w:val="20"/>
        </w:rPr>
        <w:t>items</w:t>
      </w:r>
      <w:r>
        <w:rPr>
          <w:spacing w:val="-4"/>
          <w:sz w:val="20"/>
        </w:rPr>
        <w:t xml:space="preserve"> </w:t>
      </w:r>
      <w:r>
        <w:rPr>
          <w:sz w:val="20"/>
        </w:rPr>
        <w:t>do</w:t>
      </w:r>
      <w:r>
        <w:rPr>
          <w:spacing w:val="-4"/>
          <w:sz w:val="20"/>
        </w:rPr>
        <w:t xml:space="preserve"> </w:t>
      </w:r>
      <w:r>
        <w:rPr>
          <w:sz w:val="20"/>
        </w:rPr>
        <w:t>not line up with how expenses are charged/reported here at</w:t>
      </w:r>
      <w:r>
        <w:rPr>
          <w:spacing w:val="-6"/>
          <w:sz w:val="20"/>
        </w:rPr>
        <w:t xml:space="preserve"> </w:t>
      </w:r>
      <w:r>
        <w:rPr>
          <w:sz w:val="20"/>
        </w:rPr>
        <w:t>Purdue.</w:t>
      </w:r>
    </w:p>
    <w:p w14:paraId="3FE36731" w14:textId="77777777" w:rsidR="00EB1D72" w:rsidRPr="00EC2587" w:rsidRDefault="00EB1D72" w:rsidP="00EB1D72">
      <w:pPr>
        <w:pStyle w:val="BodyText"/>
        <w:spacing w:before="10"/>
        <w:rPr>
          <w:sz w:val="16"/>
          <w:szCs w:val="16"/>
        </w:rPr>
      </w:pPr>
    </w:p>
    <w:p w14:paraId="11FA9F44" w14:textId="77777777" w:rsidR="00EB1D72" w:rsidRDefault="00EB1D72" w:rsidP="00EB1D72">
      <w:pPr>
        <w:pStyle w:val="BodyText"/>
        <w:ind w:left="1179"/>
      </w:pPr>
      <w:r>
        <w:t xml:space="preserve">If you have a question about a term or condition included in a contract or award that seems unique but not listed above, elevate it to your Research Administration Manager for further </w:t>
      </w:r>
      <w:r>
        <w:lastRenderedPageBreak/>
        <w:t>discussion.</w:t>
      </w:r>
    </w:p>
    <w:p w14:paraId="56BCACB9" w14:textId="77777777" w:rsidR="00EB1D72" w:rsidRPr="00EC2587" w:rsidRDefault="00EB1D72" w:rsidP="00EB1D72">
      <w:pPr>
        <w:pStyle w:val="BodyText"/>
        <w:spacing w:before="9"/>
        <w:rPr>
          <w:sz w:val="16"/>
          <w:szCs w:val="16"/>
        </w:rPr>
      </w:pPr>
    </w:p>
    <w:p w14:paraId="1F3B17D1" w14:textId="77777777" w:rsidR="00EB1D72" w:rsidRDefault="00EB1D72" w:rsidP="00EB1D72">
      <w:pPr>
        <w:pStyle w:val="ListParagraph"/>
        <w:numPr>
          <w:ilvl w:val="0"/>
          <w:numId w:val="3"/>
        </w:numPr>
        <w:tabs>
          <w:tab w:val="left" w:pos="1194"/>
          <w:tab w:val="left" w:pos="1195"/>
        </w:tabs>
        <w:ind w:right="279"/>
        <w:rPr>
          <w:sz w:val="20"/>
        </w:rPr>
      </w:pPr>
      <w:r>
        <w:rPr>
          <w:sz w:val="20"/>
        </w:rPr>
        <w:t>Unfavorable</w:t>
      </w:r>
      <w:r>
        <w:rPr>
          <w:spacing w:val="-3"/>
          <w:sz w:val="20"/>
        </w:rPr>
        <w:t xml:space="preserve"> </w:t>
      </w:r>
      <w:r>
        <w:rPr>
          <w:sz w:val="20"/>
        </w:rPr>
        <w:t>advance</w:t>
      </w:r>
      <w:r>
        <w:rPr>
          <w:spacing w:val="-5"/>
          <w:sz w:val="20"/>
        </w:rPr>
        <w:t xml:space="preserve"> </w:t>
      </w:r>
      <w:r>
        <w:rPr>
          <w:sz w:val="20"/>
        </w:rPr>
        <w:t>payment</w:t>
      </w:r>
      <w:r>
        <w:rPr>
          <w:spacing w:val="-5"/>
          <w:sz w:val="20"/>
        </w:rPr>
        <w:t xml:space="preserve"> </w:t>
      </w:r>
      <w:r>
        <w:rPr>
          <w:sz w:val="20"/>
        </w:rPr>
        <w:t>terms:</w:t>
      </w:r>
      <w:r>
        <w:rPr>
          <w:spacing w:val="-4"/>
          <w:sz w:val="20"/>
        </w:rPr>
        <w:t xml:space="preserve"> </w:t>
      </w:r>
      <w:r>
        <w:rPr>
          <w:sz w:val="20"/>
        </w:rPr>
        <w:t>Please</w:t>
      </w:r>
      <w:r>
        <w:rPr>
          <w:spacing w:val="-2"/>
          <w:sz w:val="20"/>
        </w:rPr>
        <w:t xml:space="preserve"> </w:t>
      </w:r>
      <w:r>
        <w:rPr>
          <w:sz w:val="20"/>
        </w:rPr>
        <w:t>note</w:t>
      </w:r>
      <w:r>
        <w:rPr>
          <w:spacing w:val="-3"/>
          <w:sz w:val="20"/>
        </w:rPr>
        <w:t xml:space="preserve"> </w:t>
      </w:r>
      <w:r>
        <w:rPr>
          <w:sz w:val="20"/>
        </w:rPr>
        <w:t>if</w:t>
      </w:r>
      <w:r>
        <w:rPr>
          <w:spacing w:val="-3"/>
          <w:sz w:val="20"/>
        </w:rPr>
        <w:t xml:space="preserve"> </w:t>
      </w:r>
      <w:r>
        <w:rPr>
          <w:sz w:val="20"/>
        </w:rPr>
        <w:t>the</w:t>
      </w:r>
      <w:r>
        <w:rPr>
          <w:spacing w:val="-5"/>
          <w:sz w:val="20"/>
        </w:rPr>
        <w:t xml:space="preserve"> </w:t>
      </w:r>
      <w:proofErr w:type="spellStart"/>
      <w:r>
        <w:rPr>
          <w:sz w:val="20"/>
        </w:rPr>
        <w:t>Subawardee</w:t>
      </w:r>
      <w:proofErr w:type="spellEnd"/>
      <w:r>
        <w:rPr>
          <w:sz w:val="20"/>
        </w:rPr>
        <w:t xml:space="preserve"> will</w:t>
      </w:r>
      <w:r>
        <w:rPr>
          <w:spacing w:val="-3"/>
          <w:sz w:val="20"/>
        </w:rPr>
        <w:t xml:space="preserve"> </w:t>
      </w:r>
      <w:r>
        <w:rPr>
          <w:sz w:val="20"/>
        </w:rPr>
        <w:t>require</w:t>
      </w:r>
      <w:r>
        <w:rPr>
          <w:spacing w:val="-3"/>
          <w:sz w:val="20"/>
        </w:rPr>
        <w:t xml:space="preserve"> </w:t>
      </w:r>
      <w:r>
        <w:rPr>
          <w:sz w:val="20"/>
        </w:rPr>
        <w:t>advance</w:t>
      </w:r>
      <w:r>
        <w:rPr>
          <w:spacing w:val="-4"/>
          <w:sz w:val="20"/>
        </w:rPr>
        <w:t xml:space="preserve"> </w:t>
      </w:r>
      <w:r>
        <w:rPr>
          <w:sz w:val="20"/>
        </w:rPr>
        <w:t>cash</w:t>
      </w:r>
      <w:r>
        <w:rPr>
          <w:spacing w:val="-3"/>
          <w:sz w:val="20"/>
        </w:rPr>
        <w:t xml:space="preserve"> </w:t>
      </w:r>
      <w:r>
        <w:rPr>
          <w:sz w:val="20"/>
        </w:rPr>
        <w:t>payments for its operations in lieu of a more traditional cost reimbursement payment</w:t>
      </w:r>
      <w:r>
        <w:rPr>
          <w:spacing w:val="-12"/>
          <w:sz w:val="20"/>
        </w:rPr>
        <w:t xml:space="preserve"> </w:t>
      </w:r>
      <w:r>
        <w:rPr>
          <w:sz w:val="20"/>
        </w:rPr>
        <w:t>schedule.</w:t>
      </w:r>
    </w:p>
    <w:p w14:paraId="390D61E7" w14:textId="77777777" w:rsidR="004A4D0A" w:rsidRDefault="004A4D0A" w:rsidP="004A4D0A">
      <w:pPr>
        <w:spacing w:before="77"/>
        <w:rPr>
          <w:b/>
          <w:sz w:val="20"/>
        </w:rPr>
      </w:pPr>
    </w:p>
    <w:p w14:paraId="51719E81" w14:textId="77777777" w:rsidR="004A4D0A" w:rsidRPr="004A4D0A" w:rsidRDefault="004A4D0A" w:rsidP="004A4D0A">
      <w:pPr>
        <w:spacing w:before="77"/>
        <w:ind w:firstLine="360"/>
        <w:rPr>
          <w:b/>
          <w:sz w:val="20"/>
        </w:rPr>
      </w:pPr>
      <w:r w:rsidRPr="004A4D0A">
        <w:rPr>
          <w:b/>
          <w:sz w:val="20"/>
          <w:u w:val="single"/>
        </w:rPr>
        <w:t xml:space="preserve">Section </w:t>
      </w:r>
      <w:r>
        <w:rPr>
          <w:b/>
          <w:sz w:val="20"/>
          <w:u w:val="single"/>
        </w:rPr>
        <w:t>D</w:t>
      </w:r>
      <w:r>
        <w:rPr>
          <w:b/>
          <w:sz w:val="20"/>
        </w:rPr>
        <w:t>:</w:t>
      </w:r>
    </w:p>
    <w:p w14:paraId="0EDA8E90" w14:textId="77777777" w:rsidR="004A4D0A" w:rsidRDefault="004A4D0A" w:rsidP="004A4D0A">
      <w:pPr>
        <w:pStyle w:val="ListParagraph"/>
        <w:numPr>
          <w:ilvl w:val="0"/>
          <w:numId w:val="2"/>
        </w:numPr>
        <w:spacing w:before="77"/>
        <w:rPr>
          <w:sz w:val="20"/>
        </w:rPr>
      </w:pPr>
      <w:r w:rsidRPr="004A4D0A">
        <w:rPr>
          <w:sz w:val="20"/>
        </w:rPr>
        <w:t xml:space="preserve">Add any </w:t>
      </w:r>
      <w:r>
        <w:rPr>
          <w:sz w:val="20"/>
        </w:rPr>
        <w:t>a</w:t>
      </w:r>
      <w:r w:rsidRPr="004A4D0A">
        <w:rPr>
          <w:sz w:val="20"/>
        </w:rPr>
        <w:t xml:space="preserve">dditional </w:t>
      </w:r>
      <w:r>
        <w:rPr>
          <w:sz w:val="20"/>
        </w:rPr>
        <w:t>c</w:t>
      </w:r>
      <w:r w:rsidRPr="004A4D0A">
        <w:rPr>
          <w:sz w:val="20"/>
        </w:rPr>
        <w:t xml:space="preserve">omments </w:t>
      </w:r>
      <w:r>
        <w:rPr>
          <w:sz w:val="20"/>
        </w:rPr>
        <w:t xml:space="preserve">to elaborate on the special considerations or prime award terms </w:t>
      </w:r>
      <w:r w:rsidRPr="004A4D0A">
        <w:rPr>
          <w:sz w:val="20"/>
        </w:rPr>
        <w:t xml:space="preserve">for Contracting in </w:t>
      </w:r>
      <w:r>
        <w:rPr>
          <w:sz w:val="20"/>
        </w:rPr>
        <w:t>this section.</w:t>
      </w:r>
    </w:p>
    <w:p w14:paraId="719BD9AA" w14:textId="77777777" w:rsidR="004A4D0A" w:rsidRDefault="004A4D0A" w:rsidP="004A4D0A">
      <w:pPr>
        <w:spacing w:before="77"/>
        <w:ind w:left="360"/>
        <w:rPr>
          <w:sz w:val="20"/>
        </w:rPr>
      </w:pPr>
    </w:p>
    <w:p w14:paraId="02FA472C" w14:textId="62A31D66" w:rsidR="004A4D0A" w:rsidRPr="004A4D0A" w:rsidRDefault="004A4D0A" w:rsidP="004A4D0A">
      <w:pPr>
        <w:spacing w:before="77"/>
        <w:ind w:left="360"/>
        <w:rPr>
          <w:b/>
          <w:sz w:val="20"/>
        </w:rPr>
      </w:pPr>
      <w:r w:rsidRPr="004A4D0A">
        <w:rPr>
          <w:b/>
          <w:sz w:val="20"/>
        </w:rPr>
        <w:t>Post Award Funding Administrator will upload the Subrecipient Risk Analysis Form and route to the man</w:t>
      </w:r>
      <w:r w:rsidR="009D6C34">
        <w:rPr>
          <w:b/>
          <w:sz w:val="20"/>
        </w:rPr>
        <w:t>a</w:t>
      </w:r>
      <w:r w:rsidRPr="004A4D0A">
        <w:rPr>
          <w:b/>
          <w:sz w:val="20"/>
        </w:rPr>
        <w:t xml:space="preserve">ger for review. The Funding Administrator will also upload to the grant file the Subrecipient </w:t>
      </w:r>
      <w:r w:rsidR="00102F4A">
        <w:rPr>
          <w:b/>
          <w:sz w:val="20"/>
        </w:rPr>
        <w:t xml:space="preserve">Tab SnagIt. </w:t>
      </w:r>
      <w:r w:rsidRPr="004A4D0A">
        <w:rPr>
          <w:b/>
          <w:sz w:val="20"/>
        </w:rPr>
        <w:t xml:space="preserve">Be sure to include the sponsored program </w:t>
      </w:r>
      <w:r w:rsidR="00102F4A">
        <w:rPr>
          <w:b/>
          <w:sz w:val="20"/>
        </w:rPr>
        <w:t xml:space="preserve">number </w:t>
      </w:r>
      <w:r w:rsidRPr="004A4D0A">
        <w:rPr>
          <w:b/>
          <w:sz w:val="20"/>
        </w:rPr>
        <w:t xml:space="preserve">on this document so that contracting can locate it. </w:t>
      </w:r>
    </w:p>
    <w:sectPr w:rsidR="004A4D0A" w:rsidRPr="004A4D0A">
      <w:headerReference w:type="default" r:id="rId10"/>
      <w:pgSz w:w="12240" w:h="15840"/>
      <w:pgMar w:top="580" w:right="5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A0E7C" w14:textId="77777777" w:rsidR="0012551C" w:rsidRDefault="0012551C" w:rsidP="0012551C">
      <w:r>
        <w:separator/>
      </w:r>
    </w:p>
  </w:endnote>
  <w:endnote w:type="continuationSeparator" w:id="0">
    <w:p w14:paraId="6B61672F" w14:textId="77777777" w:rsidR="0012551C" w:rsidRDefault="0012551C" w:rsidP="0012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0EE49" w14:textId="77777777" w:rsidR="0012551C" w:rsidRDefault="0012551C" w:rsidP="0012551C">
      <w:r>
        <w:separator/>
      </w:r>
    </w:p>
  </w:footnote>
  <w:footnote w:type="continuationSeparator" w:id="0">
    <w:p w14:paraId="1CECDC88" w14:textId="77777777" w:rsidR="0012551C" w:rsidRDefault="0012551C" w:rsidP="0012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1BBA" w14:textId="0B265E2F" w:rsidR="0012551C" w:rsidRPr="0012551C" w:rsidRDefault="0012551C" w:rsidP="0012551C">
    <w:pPr>
      <w:pStyle w:val="Header"/>
      <w:jc w:val="right"/>
      <w:rPr>
        <w:sz w:val="20"/>
        <w:szCs w:val="20"/>
      </w:rPr>
    </w:pPr>
    <w:r w:rsidRPr="0012551C">
      <w:rPr>
        <w:sz w:val="20"/>
        <w:szCs w:val="20"/>
      </w:rPr>
      <w:t>Updated: September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66D3F"/>
    <w:multiLevelType w:val="hybridMultilevel"/>
    <w:tmpl w:val="FC2A7B3E"/>
    <w:lvl w:ilvl="0" w:tplc="0409000B">
      <w:start w:val="1"/>
      <w:numFmt w:val="bullet"/>
      <w:lvlText w:val=""/>
      <w:lvlJc w:val="left"/>
      <w:pPr>
        <w:ind w:left="473" w:hanging="360"/>
        <w:jc w:val="left"/>
      </w:pPr>
      <w:rPr>
        <w:rFonts w:ascii="Wingdings" w:hAnsi="Wingdings" w:hint="default"/>
        <w:spacing w:val="-1"/>
        <w:w w:val="99"/>
        <w:sz w:val="20"/>
        <w:szCs w:val="20"/>
        <w:lang w:val="en-US" w:eastAsia="en-US" w:bidi="en-US"/>
      </w:rPr>
    </w:lvl>
    <w:lvl w:ilvl="1" w:tplc="41C8242E">
      <w:start w:val="1"/>
      <w:numFmt w:val="lowerLetter"/>
      <w:lvlText w:val="%2."/>
      <w:lvlJc w:val="left"/>
      <w:pPr>
        <w:ind w:left="1193" w:hanging="360"/>
        <w:jc w:val="left"/>
      </w:pPr>
      <w:rPr>
        <w:rFonts w:ascii="Arial" w:eastAsia="Arial" w:hAnsi="Arial" w:cs="Arial" w:hint="default"/>
        <w:spacing w:val="-1"/>
        <w:w w:val="99"/>
        <w:sz w:val="20"/>
        <w:szCs w:val="20"/>
        <w:lang w:val="en-US" w:eastAsia="en-US" w:bidi="en-US"/>
      </w:rPr>
    </w:lvl>
    <w:lvl w:ilvl="2" w:tplc="7F78A022">
      <w:start w:val="1"/>
      <w:numFmt w:val="lowerRoman"/>
      <w:lvlText w:val="%3."/>
      <w:lvlJc w:val="left"/>
      <w:pPr>
        <w:ind w:left="1918" w:hanging="279"/>
        <w:jc w:val="right"/>
      </w:pPr>
      <w:rPr>
        <w:rFonts w:ascii="Arial" w:eastAsia="Arial" w:hAnsi="Arial" w:cs="Arial" w:hint="default"/>
        <w:spacing w:val="-1"/>
        <w:w w:val="99"/>
        <w:sz w:val="20"/>
        <w:szCs w:val="20"/>
        <w:lang w:val="en-US" w:eastAsia="en-US" w:bidi="en-US"/>
      </w:rPr>
    </w:lvl>
    <w:lvl w:ilvl="3" w:tplc="D72C72E4">
      <w:numFmt w:val="bullet"/>
      <w:lvlText w:val="•"/>
      <w:lvlJc w:val="left"/>
      <w:pPr>
        <w:ind w:left="3030" w:hanging="279"/>
      </w:pPr>
      <w:rPr>
        <w:rFonts w:hint="default"/>
        <w:lang w:val="en-US" w:eastAsia="en-US" w:bidi="en-US"/>
      </w:rPr>
    </w:lvl>
    <w:lvl w:ilvl="4" w:tplc="FC887CF2">
      <w:numFmt w:val="bullet"/>
      <w:lvlText w:val="•"/>
      <w:lvlJc w:val="left"/>
      <w:pPr>
        <w:ind w:left="4140" w:hanging="279"/>
      </w:pPr>
      <w:rPr>
        <w:rFonts w:hint="default"/>
        <w:lang w:val="en-US" w:eastAsia="en-US" w:bidi="en-US"/>
      </w:rPr>
    </w:lvl>
    <w:lvl w:ilvl="5" w:tplc="E668E9C4">
      <w:numFmt w:val="bullet"/>
      <w:lvlText w:val="•"/>
      <w:lvlJc w:val="left"/>
      <w:pPr>
        <w:ind w:left="5250" w:hanging="279"/>
      </w:pPr>
      <w:rPr>
        <w:rFonts w:hint="default"/>
        <w:lang w:val="en-US" w:eastAsia="en-US" w:bidi="en-US"/>
      </w:rPr>
    </w:lvl>
    <w:lvl w:ilvl="6" w:tplc="B0E4BD7A">
      <w:numFmt w:val="bullet"/>
      <w:lvlText w:val="•"/>
      <w:lvlJc w:val="left"/>
      <w:pPr>
        <w:ind w:left="6360" w:hanging="279"/>
      </w:pPr>
      <w:rPr>
        <w:rFonts w:hint="default"/>
        <w:lang w:val="en-US" w:eastAsia="en-US" w:bidi="en-US"/>
      </w:rPr>
    </w:lvl>
    <w:lvl w:ilvl="7" w:tplc="8A4281EE">
      <w:numFmt w:val="bullet"/>
      <w:lvlText w:val="•"/>
      <w:lvlJc w:val="left"/>
      <w:pPr>
        <w:ind w:left="7470" w:hanging="279"/>
      </w:pPr>
      <w:rPr>
        <w:rFonts w:hint="default"/>
        <w:lang w:val="en-US" w:eastAsia="en-US" w:bidi="en-US"/>
      </w:rPr>
    </w:lvl>
    <w:lvl w:ilvl="8" w:tplc="EB90AC20">
      <w:numFmt w:val="bullet"/>
      <w:lvlText w:val="•"/>
      <w:lvlJc w:val="left"/>
      <w:pPr>
        <w:ind w:left="8580" w:hanging="279"/>
      </w:pPr>
      <w:rPr>
        <w:rFonts w:hint="default"/>
        <w:lang w:val="en-US" w:eastAsia="en-US" w:bidi="en-US"/>
      </w:rPr>
    </w:lvl>
  </w:abstractNum>
  <w:abstractNum w:abstractNumId="1" w15:restartNumberingAfterBreak="0">
    <w:nsid w:val="42E805E6"/>
    <w:multiLevelType w:val="hybridMultilevel"/>
    <w:tmpl w:val="D8F0F4F0"/>
    <w:lvl w:ilvl="0" w:tplc="0409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DA5254"/>
    <w:multiLevelType w:val="hybridMultilevel"/>
    <w:tmpl w:val="9F4EE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B5367B"/>
    <w:multiLevelType w:val="hybridMultilevel"/>
    <w:tmpl w:val="B762B2D4"/>
    <w:lvl w:ilvl="0" w:tplc="04090019">
      <w:start w:val="1"/>
      <w:numFmt w:val="lowerLetter"/>
      <w:lvlText w:val="%1."/>
      <w:lvlJc w:val="left"/>
      <w:pPr>
        <w:ind w:left="1539" w:hanging="360"/>
      </w:pPr>
    </w:lvl>
    <w:lvl w:ilvl="1" w:tplc="04090019" w:tentative="1">
      <w:start w:val="1"/>
      <w:numFmt w:val="lowerLetter"/>
      <w:lvlText w:val="%2."/>
      <w:lvlJc w:val="left"/>
      <w:pPr>
        <w:ind w:left="2259" w:hanging="360"/>
      </w:pPr>
    </w:lvl>
    <w:lvl w:ilvl="2" w:tplc="0409001B" w:tentative="1">
      <w:start w:val="1"/>
      <w:numFmt w:val="lowerRoman"/>
      <w:lvlText w:val="%3."/>
      <w:lvlJc w:val="right"/>
      <w:pPr>
        <w:ind w:left="2979" w:hanging="180"/>
      </w:pPr>
    </w:lvl>
    <w:lvl w:ilvl="3" w:tplc="0409000F" w:tentative="1">
      <w:start w:val="1"/>
      <w:numFmt w:val="decimal"/>
      <w:lvlText w:val="%4."/>
      <w:lvlJc w:val="left"/>
      <w:pPr>
        <w:ind w:left="3699" w:hanging="360"/>
      </w:pPr>
    </w:lvl>
    <w:lvl w:ilvl="4" w:tplc="04090019" w:tentative="1">
      <w:start w:val="1"/>
      <w:numFmt w:val="lowerLetter"/>
      <w:lvlText w:val="%5."/>
      <w:lvlJc w:val="left"/>
      <w:pPr>
        <w:ind w:left="4419" w:hanging="360"/>
      </w:pPr>
    </w:lvl>
    <w:lvl w:ilvl="5" w:tplc="0409001B" w:tentative="1">
      <w:start w:val="1"/>
      <w:numFmt w:val="lowerRoman"/>
      <w:lvlText w:val="%6."/>
      <w:lvlJc w:val="right"/>
      <w:pPr>
        <w:ind w:left="5139" w:hanging="180"/>
      </w:pPr>
    </w:lvl>
    <w:lvl w:ilvl="6" w:tplc="0409000F" w:tentative="1">
      <w:start w:val="1"/>
      <w:numFmt w:val="decimal"/>
      <w:lvlText w:val="%7."/>
      <w:lvlJc w:val="left"/>
      <w:pPr>
        <w:ind w:left="5859" w:hanging="360"/>
      </w:pPr>
    </w:lvl>
    <w:lvl w:ilvl="7" w:tplc="04090019" w:tentative="1">
      <w:start w:val="1"/>
      <w:numFmt w:val="lowerLetter"/>
      <w:lvlText w:val="%8."/>
      <w:lvlJc w:val="left"/>
      <w:pPr>
        <w:ind w:left="6579" w:hanging="360"/>
      </w:pPr>
    </w:lvl>
    <w:lvl w:ilvl="8" w:tplc="0409001B" w:tentative="1">
      <w:start w:val="1"/>
      <w:numFmt w:val="lowerRoman"/>
      <w:lvlText w:val="%9."/>
      <w:lvlJc w:val="right"/>
      <w:pPr>
        <w:ind w:left="729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0F5"/>
    <w:rsid w:val="00102F4A"/>
    <w:rsid w:val="0012551C"/>
    <w:rsid w:val="00143221"/>
    <w:rsid w:val="004A4D0A"/>
    <w:rsid w:val="007D5711"/>
    <w:rsid w:val="008804C6"/>
    <w:rsid w:val="009D6C34"/>
    <w:rsid w:val="00A66800"/>
    <w:rsid w:val="00B123A2"/>
    <w:rsid w:val="00DA1CE0"/>
    <w:rsid w:val="00DD3AAB"/>
    <w:rsid w:val="00E210F5"/>
    <w:rsid w:val="00EB1D72"/>
    <w:rsid w:val="00EC2587"/>
    <w:rsid w:val="00FB1F61"/>
    <w:rsid w:val="00FB4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E58B2"/>
  <w15:docId w15:val="{0483C724-B8F8-47ED-B3EC-3A1B31EA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91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D5711"/>
    <w:rPr>
      <w:color w:val="0000FF" w:themeColor="hyperlink"/>
      <w:u w:val="single"/>
    </w:rPr>
  </w:style>
  <w:style w:type="character" w:styleId="CommentReference">
    <w:name w:val="annotation reference"/>
    <w:basedOn w:val="DefaultParagraphFont"/>
    <w:uiPriority w:val="99"/>
    <w:semiHidden/>
    <w:unhideWhenUsed/>
    <w:rsid w:val="004A4D0A"/>
    <w:rPr>
      <w:sz w:val="16"/>
      <w:szCs w:val="16"/>
    </w:rPr>
  </w:style>
  <w:style w:type="paragraph" w:styleId="CommentText">
    <w:name w:val="annotation text"/>
    <w:basedOn w:val="Normal"/>
    <w:link w:val="CommentTextChar"/>
    <w:uiPriority w:val="99"/>
    <w:semiHidden/>
    <w:unhideWhenUsed/>
    <w:rsid w:val="004A4D0A"/>
    <w:rPr>
      <w:sz w:val="20"/>
      <w:szCs w:val="20"/>
    </w:rPr>
  </w:style>
  <w:style w:type="character" w:customStyle="1" w:styleId="CommentTextChar">
    <w:name w:val="Comment Text Char"/>
    <w:basedOn w:val="DefaultParagraphFont"/>
    <w:link w:val="CommentText"/>
    <w:uiPriority w:val="99"/>
    <w:semiHidden/>
    <w:rsid w:val="004A4D0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4A4D0A"/>
    <w:rPr>
      <w:b/>
      <w:bCs/>
    </w:rPr>
  </w:style>
  <w:style w:type="character" w:customStyle="1" w:styleId="CommentSubjectChar">
    <w:name w:val="Comment Subject Char"/>
    <w:basedOn w:val="CommentTextChar"/>
    <w:link w:val="CommentSubject"/>
    <w:uiPriority w:val="99"/>
    <w:semiHidden/>
    <w:rsid w:val="004A4D0A"/>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4A4D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4D0A"/>
    <w:rPr>
      <w:rFonts w:ascii="Segoe UI" w:eastAsia="Arial" w:hAnsi="Segoe UI" w:cs="Segoe UI"/>
      <w:sz w:val="18"/>
      <w:szCs w:val="18"/>
      <w:lang w:bidi="en-US"/>
    </w:rPr>
  </w:style>
  <w:style w:type="paragraph" w:styleId="Header">
    <w:name w:val="header"/>
    <w:basedOn w:val="Normal"/>
    <w:link w:val="HeaderChar"/>
    <w:uiPriority w:val="99"/>
    <w:unhideWhenUsed/>
    <w:rsid w:val="0012551C"/>
    <w:pPr>
      <w:tabs>
        <w:tab w:val="center" w:pos="4680"/>
        <w:tab w:val="right" w:pos="9360"/>
      </w:tabs>
    </w:pPr>
  </w:style>
  <w:style w:type="character" w:customStyle="1" w:styleId="HeaderChar">
    <w:name w:val="Header Char"/>
    <w:basedOn w:val="DefaultParagraphFont"/>
    <w:link w:val="Header"/>
    <w:uiPriority w:val="99"/>
    <w:rsid w:val="0012551C"/>
    <w:rPr>
      <w:rFonts w:ascii="Arial" w:eastAsia="Arial" w:hAnsi="Arial" w:cs="Arial"/>
      <w:lang w:bidi="en-US"/>
    </w:rPr>
  </w:style>
  <w:style w:type="paragraph" w:styleId="Footer">
    <w:name w:val="footer"/>
    <w:basedOn w:val="Normal"/>
    <w:link w:val="FooterChar"/>
    <w:uiPriority w:val="99"/>
    <w:unhideWhenUsed/>
    <w:rsid w:val="0012551C"/>
    <w:pPr>
      <w:tabs>
        <w:tab w:val="center" w:pos="4680"/>
        <w:tab w:val="right" w:pos="9360"/>
      </w:tabs>
    </w:pPr>
  </w:style>
  <w:style w:type="character" w:customStyle="1" w:styleId="FooterChar">
    <w:name w:val="Footer Char"/>
    <w:basedOn w:val="DefaultParagraphFont"/>
    <w:link w:val="Footer"/>
    <w:uiPriority w:val="99"/>
    <w:rsid w:val="0012551C"/>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qa@purdu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urdue.edu/business/sps/preaward/menu/1.gettingstarted/pi_role/traffick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michiko</dc:creator>
  <cp:lastModifiedBy>Corwin, Susan M</cp:lastModifiedBy>
  <cp:revision>4</cp:revision>
  <dcterms:created xsi:type="dcterms:W3CDTF">2020-09-08T18:51:00Z</dcterms:created>
  <dcterms:modified xsi:type="dcterms:W3CDTF">2020-09-08T19:21:00Z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Creator">
    <vt:lpwstr>Acrobat PDFMaker 17 for Word</vt:lpwstr>
  </property>
  <property fmtid="{D5CDD505-2E9C-101B-9397-08002B2CF9AE}" pid="4" name="LastSaved">
    <vt:filetime>2020-04-16T00:00:00Z</vt:filetime>
  </property>
</Properties>
</file>