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7FD6A" w14:textId="5D29C556" w:rsidR="00A36FEB" w:rsidRPr="00F347CD" w:rsidRDefault="0008175F" w:rsidP="00F347CD">
      <w:pPr>
        <w:spacing w:after="0"/>
        <w:rPr>
          <w:rFonts w:ascii="Arial" w:hAnsi="Arial" w:cs="Arial"/>
          <w:vanish/>
          <w:sz w:val="20"/>
          <w:szCs w:val="20"/>
        </w:rPr>
      </w:pPr>
      <w:r w:rsidRPr="0008175F">
        <w:rPr>
          <w:rFonts w:ascii="Arial" w:hAnsi="Arial" w:cs="Arial"/>
          <w:sz w:val="20"/>
          <w:szCs w:val="20"/>
        </w:rPr>
        <w:t>Process: This</w:t>
      </w:r>
      <w:bookmarkStart w:id="0" w:name="_GoBack"/>
      <w:bookmarkEnd w:id="0"/>
      <w:r w:rsidRPr="0008175F">
        <w:rPr>
          <w:rFonts w:ascii="Arial" w:hAnsi="Arial" w:cs="Arial"/>
          <w:sz w:val="20"/>
          <w:szCs w:val="20"/>
        </w:rPr>
        <w:t xml:space="preserve"> job aid describ</w:t>
      </w:r>
      <w:r w:rsidR="00E5572A">
        <w:rPr>
          <w:rFonts w:ascii="Arial" w:hAnsi="Arial" w:cs="Arial"/>
          <w:sz w:val="20"/>
          <w:szCs w:val="20"/>
        </w:rPr>
        <w:t xml:space="preserve">es procedures for reviewing </w:t>
      </w:r>
      <w:r w:rsidR="004D12A4">
        <w:rPr>
          <w:rFonts w:ascii="Arial" w:hAnsi="Arial" w:cs="Arial"/>
          <w:sz w:val="20"/>
          <w:szCs w:val="20"/>
        </w:rPr>
        <w:t>a</w:t>
      </w:r>
      <w:r w:rsidR="00E5572A">
        <w:rPr>
          <w:rFonts w:ascii="Arial" w:hAnsi="Arial" w:cs="Arial"/>
          <w:sz w:val="20"/>
          <w:szCs w:val="20"/>
        </w:rPr>
        <w:t xml:space="preserve"> grant in GR55 and what issues to check</w:t>
      </w:r>
      <w:r w:rsidRPr="0008175F">
        <w:rPr>
          <w:rFonts w:ascii="Arial" w:hAnsi="Arial" w:cs="Arial"/>
          <w:sz w:val="20"/>
          <w:szCs w:val="20"/>
        </w:rPr>
        <w:t>. This is part of the closing process.</w:t>
      </w:r>
    </w:p>
    <w:tbl>
      <w:tblPr>
        <w:tblW w:w="4942"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181"/>
        <w:gridCol w:w="7464"/>
      </w:tblGrid>
      <w:tr w:rsidR="002A52E6" w:rsidRPr="00D80104" w14:paraId="0C37FD6C" w14:textId="77777777" w:rsidTr="00DF39FE">
        <w:trPr>
          <w:trHeight w:val="141"/>
        </w:trPr>
        <w:tc>
          <w:tcPr>
            <w:tcW w:w="10646" w:type="dxa"/>
            <w:gridSpan w:val="2"/>
            <w:tcBorders>
              <w:top w:val="single" w:sz="12" w:space="0" w:color="auto"/>
              <w:bottom w:val="single" w:sz="12" w:space="0" w:color="auto"/>
            </w:tcBorders>
            <w:shd w:val="clear" w:color="auto" w:fill="B1946C"/>
            <w:vAlign w:val="center"/>
          </w:tcPr>
          <w:p w14:paraId="0C37FD6B" w14:textId="2825038E" w:rsidR="002A52E6" w:rsidRPr="00D80104" w:rsidRDefault="00BE0152" w:rsidP="0024085A">
            <w:pPr>
              <w:spacing w:before="60" w:after="60"/>
              <w:rPr>
                <w:rFonts w:ascii="Arial" w:hAnsi="Arial" w:cs="Arial"/>
                <w:b/>
                <w:noProof/>
                <w:sz w:val="24"/>
                <w:szCs w:val="24"/>
              </w:rPr>
            </w:pPr>
            <w:r>
              <w:rPr>
                <w:rFonts w:ascii="Arial" w:hAnsi="Arial" w:cs="Arial"/>
                <w:b/>
                <w:noProof/>
                <w:sz w:val="24"/>
                <w:szCs w:val="24"/>
              </w:rPr>
              <w:t>GR55 – Execut</w:t>
            </w:r>
            <w:r w:rsidR="00E5572A">
              <w:rPr>
                <w:rFonts w:ascii="Arial" w:hAnsi="Arial" w:cs="Arial"/>
                <w:b/>
                <w:noProof/>
                <w:sz w:val="24"/>
                <w:szCs w:val="24"/>
              </w:rPr>
              <w:t>e Group Report</w:t>
            </w:r>
          </w:p>
        </w:tc>
      </w:tr>
      <w:tr w:rsidR="0008175F" w14:paraId="793B8D8B" w14:textId="77777777" w:rsidTr="00DF39FE">
        <w:trPr>
          <w:trHeight w:val="141"/>
        </w:trPr>
        <w:tc>
          <w:tcPr>
            <w:tcW w:w="3181" w:type="dxa"/>
            <w:tcBorders>
              <w:top w:val="single" w:sz="12" w:space="0" w:color="auto"/>
              <w:left w:val="single" w:sz="12" w:space="0" w:color="auto"/>
              <w:bottom w:val="single" w:sz="6" w:space="0" w:color="auto"/>
              <w:right w:val="single" w:sz="6" w:space="0" w:color="auto"/>
            </w:tcBorders>
            <w:shd w:val="clear" w:color="auto" w:fill="auto"/>
            <w:vAlign w:val="center"/>
          </w:tcPr>
          <w:p w14:paraId="02811EAA" w14:textId="77777777" w:rsidR="0008175F" w:rsidRPr="0008175F" w:rsidRDefault="0008175F" w:rsidP="0008175F">
            <w:pPr>
              <w:spacing w:before="60" w:after="60"/>
              <w:rPr>
                <w:rFonts w:ascii="Arial" w:hAnsi="Arial" w:cs="Arial"/>
                <w:bCs/>
                <w:sz w:val="20"/>
                <w:szCs w:val="20"/>
              </w:rPr>
            </w:pPr>
            <w:r w:rsidRPr="0008175F">
              <w:rPr>
                <w:rFonts w:ascii="Arial" w:hAnsi="Arial" w:cs="Arial"/>
                <w:bCs/>
                <w:sz w:val="20"/>
                <w:szCs w:val="20"/>
              </w:rPr>
              <w:t>SAP Easy Access</w:t>
            </w:r>
          </w:p>
        </w:tc>
        <w:tc>
          <w:tcPr>
            <w:tcW w:w="7464" w:type="dxa"/>
            <w:tcBorders>
              <w:top w:val="single" w:sz="12" w:space="0" w:color="auto"/>
              <w:left w:val="single" w:sz="6" w:space="0" w:color="auto"/>
              <w:bottom w:val="single" w:sz="6" w:space="0" w:color="auto"/>
              <w:right w:val="single" w:sz="12" w:space="0" w:color="auto"/>
            </w:tcBorders>
            <w:shd w:val="clear" w:color="auto" w:fill="auto"/>
            <w:vAlign w:val="center"/>
          </w:tcPr>
          <w:p w14:paraId="2E822225" w14:textId="77777777" w:rsidR="0008175F" w:rsidRPr="0008175F" w:rsidRDefault="0008175F" w:rsidP="0008175F">
            <w:pPr>
              <w:spacing w:before="60" w:after="60"/>
              <w:rPr>
                <w:rFonts w:ascii="Arial" w:hAnsi="Arial" w:cs="Arial"/>
                <w:noProof/>
                <w:sz w:val="20"/>
                <w:szCs w:val="20"/>
              </w:rPr>
            </w:pPr>
            <w:r w:rsidRPr="0008175F">
              <w:rPr>
                <w:rFonts w:ascii="Arial" w:hAnsi="Arial" w:cs="Arial"/>
                <w:noProof/>
                <w:sz w:val="20"/>
                <w:szCs w:val="20"/>
              </w:rPr>
              <w:t xml:space="preserve">Enter the transaction code GR55 </w:t>
            </w:r>
          </w:p>
          <w:p w14:paraId="5164BCBC" w14:textId="77777777" w:rsidR="0008175F" w:rsidRPr="0008175F" w:rsidRDefault="0008175F" w:rsidP="0008175F">
            <w:pPr>
              <w:spacing w:before="60" w:after="60"/>
              <w:rPr>
                <w:rFonts w:ascii="Arial" w:hAnsi="Arial" w:cs="Arial"/>
                <w:noProof/>
                <w:sz w:val="20"/>
                <w:szCs w:val="20"/>
              </w:rPr>
            </w:pPr>
          </w:p>
          <w:p w14:paraId="1BF74C6C" w14:textId="1BD7FA09" w:rsidR="0008175F" w:rsidRPr="0008175F" w:rsidRDefault="0008175F" w:rsidP="0008175F">
            <w:pPr>
              <w:spacing w:before="60" w:after="60"/>
              <w:rPr>
                <w:rFonts w:ascii="Arial" w:hAnsi="Arial" w:cs="Arial"/>
                <w:noProof/>
                <w:sz w:val="20"/>
                <w:szCs w:val="20"/>
              </w:rPr>
            </w:pPr>
            <w:r w:rsidRPr="0008175F">
              <w:rPr>
                <w:rFonts w:ascii="Arial" w:hAnsi="Arial" w:cs="Arial"/>
                <w:noProof/>
                <w:sz w:val="20"/>
                <w:szCs w:val="20"/>
              </w:rPr>
              <w:drawing>
                <wp:inline distT="0" distB="0" distL="0" distR="0" wp14:anchorId="3DAF325A" wp14:editId="052B6DA8">
                  <wp:extent cx="2019048" cy="761905"/>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19048" cy="761905"/>
                          </a:xfrm>
                          <a:prstGeom prst="rect">
                            <a:avLst/>
                          </a:prstGeom>
                        </pic:spPr>
                      </pic:pic>
                    </a:graphicData>
                  </a:graphic>
                </wp:inline>
              </w:drawing>
            </w:r>
          </w:p>
        </w:tc>
      </w:tr>
      <w:tr w:rsidR="0008175F" w14:paraId="6B7D36E0" w14:textId="77777777" w:rsidTr="00DF39FE">
        <w:trPr>
          <w:trHeight w:val="141"/>
        </w:trPr>
        <w:tc>
          <w:tcPr>
            <w:tcW w:w="3181" w:type="dxa"/>
            <w:tcBorders>
              <w:top w:val="single" w:sz="12" w:space="0" w:color="auto"/>
              <w:left w:val="single" w:sz="12" w:space="0" w:color="auto"/>
              <w:bottom w:val="single" w:sz="6" w:space="0" w:color="auto"/>
              <w:right w:val="single" w:sz="6" w:space="0" w:color="auto"/>
            </w:tcBorders>
            <w:shd w:val="clear" w:color="auto" w:fill="auto"/>
            <w:vAlign w:val="center"/>
          </w:tcPr>
          <w:p w14:paraId="7CB2042E" w14:textId="77777777" w:rsidR="0008175F" w:rsidRPr="0008175F" w:rsidRDefault="0008175F" w:rsidP="0008175F">
            <w:pPr>
              <w:spacing w:before="60" w:after="60"/>
              <w:rPr>
                <w:rFonts w:ascii="Arial" w:hAnsi="Arial" w:cs="Arial"/>
                <w:bCs/>
                <w:sz w:val="20"/>
                <w:szCs w:val="20"/>
              </w:rPr>
            </w:pPr>
            <w:r w:rsidRPr="0008175F">
              <w:rPr>
                <w:rFonts w:ascii="Arial" w:hAnsi="Arial" w:cs="Arial"/>
                <w:bCs/>
                <w:sz w:val="20"/>
                <w:szCs w:val="20"/>
              </w:rPr>
              <w:t>Execute Report Group</w:t>
            </w:r>
          </w:p>
        </w:tc>
        <w:tc>
          <w:tcPr>
            <w:tcW w:w="7464" w:type="dxa"/>
            <w:tcBorders>
              <w:top w:val="single" w:sz="12" w:space="0" w:color="auto"/>
              <w:left w:val="single" w:sz="6" w:space="0" w:color="auto"/>
              <w:bottom w:val="single" w:sz="6" w:space="0" w:color="auto"/>
              <w:right w:val="single" w:sz="12" w:space="0" w:color="auto"/>
            </w:tcBorders>
            <w:shd w:val="clear" w:color="auto" w:fill="auto"/>
            <w:vAlign w:val="center"/>
          </w:tcPr>
          <w:p w14:paraId="54574E1F" w14:textId="77777777" w:rsidR="0008175F" w:rsidRPr="0008175F" w:rsidRDefault="0008175F" w:rsidP="0008175F">
            <w:pPr>
              <w:spacing w:before="60" w:after="60"/>
              <w:rPr>
                <w:rFonts w:ascii="Arial" w:hAnsi="Arial" w:cs="Arial"/>
                <w:noProof/>
                <w:sz w:val="20"/>
                <w:szCs w:val="20"/>
              </w:rPr>
            </w:pPr>
            <w:r w:rsidRPr="0008175F">
              <w:rPr>
                <w:rFonts w:ascii="Arial" w:hAnsi="Arial" w:cs="Arial"/>
                <w:noProof/>
                <w:sz w:val="20"/>
                <w:szCs w:val="20"/>
              </w:rPr>
              <w:t>Report Group = Z500</w:t>
            </w:r>
          </w:p>
          <w:p w14:paraId="345CED61" w14:textId="77777777" w:rsidR="0008175F" w:rsidRPr="0008175F" w:rsidRDefault="0008175F" w:rsidP="0008175F">
            <w:pPr>
              <w:spacing w:before="60" w:after="60"/>
              <w:rPr>
                <w:rFonts w:ascii="Arial" w:hAnsi="Arial" w:cs="Arial"/>
                <w:noProof/>
                <w:sz w:val="20"/>
                <w:szCs w:val="20"/>
              </w:rPr>
            </w:pPr>
            <w:r w:rsidRPr="0008175F">
              <w:rPr>
                <w:rFonts w:ascii="Arial" w:hAnsi="Arial" w:cs="Arial"/>
                <w:noProof/>
                <w:sz w:val="20"/>
                <w:szCs w:val="20"/>
              </w:rPr>
              <w:drawing>
                <wp:inline distT="0" distB="0" distL="0" distR="0" wp14:anchorId="6E1A7A07" wp14:editId="08C860FF">
                  <wp:extent cx="2695238" cy="122857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95238" cy="1228572"/>
                          </a:xfrm>
                          <a:prstGeom prst="rect">
                            <a:avLst/>
                          </a:prstGeom>
                        </pic:spPr>
                      </pic:pic>
                    </a:graphicData>
                  </a:graphic>
                </wp:inline>
              </w:drawing>
            </w:r>
          </w:p>
          <w:p w14:paraId="0D9014DE" w14:textId="6D1609A0" w:rsidR="00E5572A" w:rsidRPr="0008175F" w:rsidRDefault="00E5572A" w:rsidP="0008175F">
            <w:pPr>
              <w:spacing w:before="60" w:after="60"/>
              <w:rPr>
                <w:rFonts w:ascii="Arial" w:hAnsi="Arial" w:cs="Arial"/>
                <w:noProof/>
                <w:sz w:val="20"/>
                <w:szCs w:val="20"/>
              </w:rPr>
            </w:pPr>
            <w:r>
              <w:rPr>
                <w:rFonts w:ascii="Arial" w:hAnsi="Arial" w:cs="Arial"/>
                <w:noProof/>
                <w:sz w:val="20"/>
                <w:szCs w:val="20"/>
              </w:rPr>
              <w:t>Click Execute</w:t>
            </w:r>
          </w:p>
        </w:tc>
      </w:tr>
      <w:tr w:rsidR="0008175F" w14:paraId="56B3DAB1" w14:textId="77777777" w:rsidTr="00DF39FE">
        <w:trPr>
          <w:trHeight w:val="141"/>
        </w:trPr>
        <w:tc>
          <w:tcPr>
            <w:tcW w:w="3181" w:type="dxa"/>
            <w:tcBorders>
              <w:top w:val="single" w:sz="12" w:space="0" w:color="auto"/>
              <w:left w:val="single" w:sz="12" w:space="0" w:color="auto"/>
              <w:bottom w:val="single" w:sz="6" w:space="0" w:color="auto"/>
              <w:right w:val="single" w:sz="6" w:space="0" w:color="auto"/>
            </w:tcBorders>
            <w:shd w:val="clear" w:color="auto" w:fill="auto"/>
            <w:vAlign w:val="center"/>
          </w:tcPr>
          <w:p w14:paraId="59C3D61B" w14:textId="77777777" w:rsidR="0008175F" w:rsidRPr="0008175F" w:rsidRDefault="0008175F" w:rsidP="0008175F">
            <w:pPr>
              <w:spacing w:before="60" w:after="60"/>
              <w:rPr>
                <w:rFonts w:ascii="Arial" w:hAnsi="Arial" w:cs="Arial"/>
                <w:bCs/>
                <w:sz w:val="20"/>
                <w:szCs w:val="20"/>
              </w:rPr>
            </w:pPr>
            <w:r w:rsidRPr="0008175F">
              <w:rPr>
                <w:rFonts w:ascii="Arial" w:hAnsi="Arial" w:cs="Arial"/>
                <w:bCs/>
                <w:sz w:val="20"/>
                <w:szCs w:val="20"/>
              </w:rPr>
              <w:t>Grant Cash: Selection</w:t>
            </w:r>
          </w:p>
        </w:tc>
        <w:tc>
          <w:tcPr>
            <w:tcW w:w="7464" w:type="dxa"/>
            <w:tcBorders>
              <w:top w:val="single" w:sz="12" w:space="0" w:color="auto"/>
              <w:left w:val="single" w:sz="6" w:space="0" w:color="auto"/>
              <w:bottom w:val="single" w:sz="6" w:space="0" w:color="auto"/>
              <w:right w:val="single" w:sz="12" w:space="0" w:color="auto"/>
            </w:tcBorders>
            <w:shd w:val="clear" w:color="auto" w:fill="auto"/>
            <w:vAlign w:val="center"/>
          </w:tcPr>
          <w:p w14:paraId="48F9C00C" w14:textId="6A8FABBD" w:rsidR="0008175F" w:rsidRPr="0008175F" w:rsidRDefault="0008175F" w:rsidP="0008175F">
            <w:pPr>
              <w:spacing w:before="60" w:after="60"/>
              <w:rPr>
                <w:rFonts w:ascii="Arial" w:hAnsi="Arial" w:cs="Arial"/>
                <w:noProof/>
                <w:sz w:val="20"/>
                <w:szCs w:val="20"/>
              </w:rPr>
            </w:pPr>
            <w:r w:rsidRPr="0008175F">
              <w:rPr>
                <w:rFonts w:ascii="Arial" w:hAnsi="Arial" w:cs="Arial"/>
                <w:noProof/>
                <w:sz w:val="20"/>
                <w:szCs w:val="20"/>
              </w:rPr>
              <w:t xml:space="preserve">Enter grant number in </w:t>
            </w:r>
            <w:r w:rsidR="00E5572A">
              <w:rPr>
                <w:rFonts w:ascii="Arial" w:hAnsi="Arial" w:cs="Arial"/>
                <w:noProof/>
                <w:sz w:val="20"/>
                <w:szCs w:val="20"/>
              </w:rPr>
              <w:t>Or v</w:t>
            </w:r>
            <w:r w:rsidRPr="0008175F">
              <w:rPr>
                <w:rFonts w:ascii="Arial" w:hAnsi="Arial" w:cs="Arial"/>
                <w:noProof/>
                <w:sz w:val="20"/>
                <w:szCs w:val="20"/>
              </w:rPr>
              <w:t>alue(s)</w:t>
            </w:r>
            <w:r w:rsidR="00E5572A">
              <w:rPr>
                <w:rFonts w:ascii="Arial" w:hAnsi="Arial" w:cs="Arial"/>
                <w:noProof/>
                <w:sz w:val="20"/>
                <w:szCs w:val="20"/>
              </w:rPr>
              <w:t xml:space="preserve"> field</w:t>
            </w:r>
          </w:p>
          <w:p w14:paraId="304957F7" w14:textId="45BBBD3E" w:rsidR="0008175F" w:rsidRPr="0008175F" w:rsidRDefault="00D835A2" w:rsidP="0008175F">
            <w:pPr>
              <w:spacing w:before="60" w:after="60"/>
              <w:rPr>
                <w:rFonts w:ascii="Arial" w:hAnsi="Arial" w:cs="Arial"/>
                <w:noProof/>
                <w:sz w:val="20"/>
                <w:szCs w:val="20"/>
              </w:rPr>
            </w:pPr>
            <w:r>
              <w:rPr>
                <w:noProof/>
              </w:rPr>
              <w:drawing>
                <wp:inline distT="0" distB="0" distL="0" distR="0" wp14:anchorId="4E57D0E2" wp14:editId="19F55462">
                  <wp:extent cx="4641215" cy="2051050"/>
                  <wp:effectExtent l="0" t="0" r="698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41215" cy="2051050"/>
                          </a:xfrm>
                          <a:prstGeom prst="rect">
                            <a:avLst/>
                          </a:prstGeom>
                        </pic:spPr>
                      </pic:pic>
                    </a:graphicData>
                  </a:graphic>
                </wp:inline>
              </w:drawing>
            </w:r>
          </w:p>
          <w:p w14:paraId="08C05CC6" w14:textId="77777777" w:rsidR="0008175F" w:rsidRPr="0008175F" w:rsidRDefault="0008175F" w:rsidP="0008175F">
            <w:pPr>
              <w:spacing w:before="60" w:after="60"/>
              <w:rPr>
                <w:rFonts w:ascii="Arial" w:hAnsi="Arial" w:cs="Arial"/>
                <w:noProof/>
                <w:sz w:val="20"/>
                <w:szCs w:val="20"/>
              </w:rPr>
            </w:pPr>
            <w:r w:rsidRPr="0008175F">
              <w:rPr>
                <w:rFonts w:ascii="Arial" w:hAnsi="Arial" w:cs="Arial"/>
                <w:noProof/>
                <w:sz w:val="20"/>
                <w:szCs w:val="20"/>
              </w:rPr>
              <w:t xml:space="preserve">Click Execute </w:t>
            </w:r>
            <w:r w:rsidRPr="0008175F">
              <w:rPr>
                <w:rFonts w:ascii="Arial" w:hAnsi="Arial" w:cs="Arial"/>
                <w:noProof/>
                <w:sz w:val="20"/>
                <w:szCs w:val="20"/>
              </w:rPr>
              <w:drawing>
                <wp:inline distT="0" distB="0" distL="0" distR="0" wp14:anchorId="70657947" wp14:editId="7FEA85A9">
                  <wp:extent cx="257143" cy="2190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7143" cy="219048"/>
                          </a:xfrm>
                          <a:prstGeom prst="rect">
                            <a:avLst/>
                          </a:prstGeom>
                        </pic:spPr>
                      </pic:pic>
                    </a:graphicData>
                  </a:graphic>
                </wp:inline>
              </w:drawing>
            </w:r>
          </w:p>
        </w:tc>
      </w:tr>
      <w:tr w:rsidR="0008175F" w14:paraId="055CF534" w14:textId="77777777" w:rsidTr="00DF39FE">
        <w:trPr>
          <w:trHeight w:val="141"/>
        </w:trPr>
        <w:tc>
          <w:tcPr>
            <w:tcW w:w="3181" w:type="dxa"/>
            <w:tcBorders>
              <w:top w:val="single" w:sz="12" w:space="0" w:color="auto"/>
              <w:left w:val="single" w:sz="12" w:space="0" w:color="auto"/>
              <w:bottom w:val="single" w:sz="6" w:space="0" w:color="auto"/>
              <w:right w:val="single" w:sz="6" w:space="0" w:color="auto"/>
            </w:tcBorders>
            <w:shd w:val="clear" w:color="auto" w:fill="auto"/>
            <w:vAlign w:val="center"/>
          </w:tcPr>
          <w:p w14:paraId="4CD98C12" w14:textId="295F2240" w:rsidR="0008175F" w:rsidRPr="0008175F" w:rsidRDefault="004A5272" w:rsidP="0008175F">
            <w:pPr>
              <w:spacing w:before="60" w:after="60"/>
              <w:rPr>
                <w:rFonts w:ascii="Arial" w:hAnsi="Arial" w:cs="Arial"/>
                <w:bCs/>
                <w:sz w:val="20"/>
                <w:szCs w:val="20"/>
              </w:rPr>
            </w:pPr>
            <w:r>
              <w:rPr>
                <w:rFonts w:ascii="Arial" w:hAnsi="Arial" w:cs="Arial"/>
                <w:bCs/>
                <w:sz w:val="20"/>
                <w:szCs w:val="20"/>
              </w:rPr>
              <w:t>Example No.1</w:t>
            </w:r>
          </w:p>
        </w:tc>
        <w:tc>
          <w:tcPr>
            <w:tcW w:w="7464" w:type="dxa"/>
            <w:tcBorders>
              <w:top w:val="single" w:sz="12" w:space="0" w:color="auto"/>
              <w:left w:val="single" w:sz="6" w:space="0" w:color="auto"/>
              <w:bottom w:val="single" w:sz="6" w:space="0" w:color="auto"/>
              <w:right w:val="single" w:sz="12" w:space="0" w:color="auto"/>
            </w:tcBorders>
            <w:shd w:val="clear" w:color="auto" w:fill="auto"/>
            <w:vAlign w:val="center"/>
          </w:tcPr>
          <w:p w14:paraId="66A043F4" w14:textId="0E9B66AE" w:rsidR="00F10866" w:rsidRDefault="00AB4A9B" w:rsidP="000D020C">
            <w:pPr>
              <w:spacing w:before="60" w:after="60" w:line="240" w:lineRule="auto"/>
              <w:contextualSpacing/>
              <w:rPr>
                <w:rFonts w:ascii="Arial" w:hAnsi="Arial" w:cs="Arial"/>
                <w:noProof/>
                <w:sz w:val="20"/>
                <w:szCs w:val="20"/>
              </w:rPr>
            </w:pPr>
            <w:r>
              <w:rPr>
                <w:rFonts w:ascii="Arial" w:hAnsi="Arial" w:cs="Arial"/>
                <w:noProof/>
                <w:sz w:val="20"/>
                <w:szCs w:val="20"/>
              </w:rPr>
              <w:t xml:space="preserve">Grant </w:t>
            </w:r>
            <w:r w:rsidRPr="00AB4A9B">
              <w:rPr>
                <w:rFonts w:ascii="Arial" w:hAnsi="Arial" w:cs="Arial"/>
                <w:b/>
                <w:noProof/>
                <w:sz w:val="20"/>
                <w:szCs w:val="20"/>
              </w:rPr>
              <w:t>10000677</w:t>
            </w:r>
            <w:r>
              <w:rPr>
                <w:rFonts w:ascii="Arial" w:hAnsi="Arial" w:cs="Arial"/>
                <w:noProof/>
                <w:sz w:val="20"/>
                <w:szCs w:val="20"/>
              </w:rPr>
              <w:t xml:space="preserve">: </w:t>
            </w:r>
            <w:r w:rsidR="00D835A2">
              <w:rPr>
                <w:rFonts w:ascii="Arial" w:hAnsi="Arial" w:cs="Arial"/>
                <w:noProof/>
                <w:sz w:val="20"/>
                <w:szCs w:val="20"/>
              </w:rPr>
              <w:t xml:space="preserve">In this example Unearned Revenue is out of balance. Currently all inv=come received is sitting on GL 204700. </w:t>
            </w:r>
            <w:r>
              <w:rPr>
                <w:rFonts w:ascii="Arial" w:hAnsi="Arial" w:cs="Arial"/>
                <w:noProof/>
                <w:sz w:val="20"/>
                <w:szCs w:val="20"/>
              </w:rPr>
              <w:t>These issues normally are corrected overnight via a nightly SAP process if income matches expenses. If issues continue please notify your supervisor.</w:t>
            </w:r>
          </w:p>
          <w:p w14:paraId="19224CB7" w14:textId="77777777" w:rsidR="00F10866" w:rsidRPr="00F10866" w:rsidRDefault="00F10866" w:rsidP="00F10866">
            <w:pPr>
              <w:rPr>
                <w:rFonts w:ascii="Arial" w:hAnsi="Arial" w:cs="Arial"/>
                <w:sz w:val="20"/>
                <w:szCs w:val="20"/>
              </w:rPr>
            </w:pPr>
          </w:p>
          <w:p w14:paraId="321D3882" w14:textId="77777777" w:rsidR="00F10866" w:rsidRPr="00F10866" w:rsidRDefault="00F10866" w:rsidP="00F10866">
            <w:pPr>
              <w:rPr>
                <w:rFonts w:ascii="Arial" w:hAnsi="Arial" w:cs="Arial"/>
                <w:sz w:val="20"/>
                <w:szCs w:val="20"/>
              </w:rPr>
            </w:pPr>
          </w:p>
          <w:p w14:paraId="7647D040" w14:textId="77777777" w:rsidR="00F10866" w:rsidRPr="00F10866" w:rsidRDefault="00F10866" w:rsidP="00F10866">
            <w:pPr>
              <w:rPr>
                <w:rFonts w:ascii="Arial" w:hAnsi="Arial" w:cs="Arial"/>
                <w:sz w:val="20"/>
                <w:szCs w:val="20"/>
              </w:rPr>
            </w:pPr>
          </w:p>
          <w:p w14:paraId="7ABECE93" w14:textId="487CD133" w:rsidR="00F10866" w:rsidRDefault="00F10866" w:rsidP="00F10866">
            <w:pPr>
              <w:rPr>
                <w:rFonts w:ascii="Arial" w:hAnsi="Arial" w:cs="Arial"/>
                <w:sz w:val="20"/>
                <w:szCs w:val="20"/>
              </w:rPr>
            </w:pPr>
          </w:p>
          <w:p w14:paraId="77725E67" w14:textId="77777777" w:rsidR="000D020C" w:rsidRPr="00F10866" w:rsidRDefault="000D020C" w:rsidP="00F10866">
            <w:pPr>
              <w:rPr>
                <w:rFonts w:ascii="Arial" w:hAnsi="Arial" w:cs="Arial"/>
                <w:sz w:val="20"/>
                <w:szCs w:val="20"/>
              </w:rPr>
            </w:pPr>
          </w:p>
          <w:p w14:paraId="691FD5E1" w14:textId="63AD5DF3" w:rsidR="0008175F" w:rsidRPr="0008175F" w:rsidRDefault="00D835A2" w:rsidP="0008175F">
            <w:pPr>
              <w:spacing w:before="60" w:after="60"/>
              <w:rPr>
                <w:rFonts w:ascii="Arial" w:hAnsi="Arial" w:cs="Arial"/>
                <w:noProof/>
                <w:sz w:val="20"/>
                <w:szCs w:val="20"/>
              </w:rPr>
            </w:pPr>
            <w:r>
              <w:rPr>
                <w:noProof/>
              </w:rPr>
              <w:lastRenderedPageBreak/>
              <w:drawing>
                <wp:inline distT="0" distB="0" distL="0" distR="0" wp14:anchorId="0CFA2F5D" wp14:editId="073C1801">
                  <wp:extent cx="4641215" cy="2357755"/>
                  <wp:effectExtent l="0" t="0" r="698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41215" cy="2357755"/>
                          </a:xfrm>
                          <a:prstGeom prst="rect">
                            <a:avLst/>
                          </a:prstGeom>
                        </pic:spPr>
                      </pic:pic>
                    </a:graphicData>
                  </a:graphic>
                </wp:inline>
              </w:drawing>
            </w:r>
          </w:p>
        </w:tc>
      </w:tr>
      <w:tr w:rsidR="0008175F" w14:paraId="4B4D5771" w14:textId="77777777" w:rsidTr="00DF39FE">
        <w:trPr>
          <w:trHeight w:val="141"/>
        </w:trPr>
        <w:tc>
          <w:tcPr>
            <w:tcW w:w="3181" w:type="dxa"/>
            <w:tcBorders>
              <w:top w:val="single" w:sz="12" w:space="0" w:color="auto"/>
              <w:left w:val="single" w:sz="12" w:space="0" w:color="auto"/>
              <w:bottom w:val="single" w:sz="6" w:space="0" w:color="auto"/>
              <w:right w:val="single" w:sz="6" w:space="0" w:color="auto"/>
            </w:tcBorders>
            <w:shd w:val="clear" w:color="auto" w:fill="auto"/>
            <w:vAlign w:val="center"/>
          </w:tcPr>
          <w:p w14:paraId="5A3784E9" w14:textId="5C6021F4" w:rsidR="0008175F" w:rsidRPr="0008175F" w:rsidRDefault="004A5272" w:rsidP="0008175F">
            <w:pPr>
              <w:spacing w:before="60" w:after="60"/>
              <w:rPr>
                <w:rFonts w:ascii="Arial" w:hAnsi="Arial" w:cs="Arial"/>
                <w:bCs/>
                <w:sz w:val="20"/>
                <w:szCs w:val="20"/>
              </w:rPr>
            </w:pPr>
            <w:r>
              <w:rPr>
                <w:rFonts w:ascii="Arial" w:hAnsi="Arial" w:cs="Arial"/>
                <w:bCs/>
                <w:sz w:val="20"/>
                <w:szCs w:val="20"/>
              </w:rPr>
              <w:lastRenderedPageBreak/>
              <w:t>Example  No.2</w:t>
            </w:r>
          </w:p>
        </w:tc>
        <w:tc>
          <w:tcPr>
            <w:tcW w:w="7464" w:type="dxa"/>
            <w:tcBorders>
              <w:top w:val="single" w:sz="12" w:space="0" w:color="auto"/>
              <w:left w:val="single" w:sz="6" w:space="0" w:color="auto"/>
              <w:bottom w:val="single" w:sz="6" w:space="0" w:color="auto"/>
              <w:right w:val="single" w:sz="12" w:space="0" w:color="auto"/>
            </w:tcBorders>
            <w:shd w:val="clear" w:color="auto" w:fill="auto"/>
            <w:vAlign w:val="center"/>
          </w:tcPr>
          <w:p w14:paraId="7860A99F" w14:textId="547C6C40" w:rsidR="000456A8" w:rsidRPr="00AB4A9B" w:rsidRDefault="00AB4A9B" w:rsidP="00AB4A9B">
            <w:pPr>
              <w:spacing w:before="60" w:after="60"/>
              <w:rPr>
                <w:rFonts w:ascii="Arial" w:hAnsi="Arial" w:cs="Arial"/>
                <w:noProof/>
                <w:sz w:val="20"/>
                <w:szCs w:val="20"/>
              </w:rPr>
            </w:pPr>
            <w:r>
              <w:rPr>
                <w:rFonts w:ascii="Arial" w:hAnsi="Arial" w:cs="Arial"/>
                <w:noProof/>
                <w:sz w:val="20"/>
                <w:szCs w:val="20"/>
              </w:rPr>
              <w:t xml:space="preserve">Grant </w:t>
            </w:r>
            <w:r w:rsidRPr="00AB4A9B">
              <w:rPr>
                <w:rFonts w:ascii="Arial" w:hAnsi="Arial" w:cs="Arial"/>
                <w:b/>
                <w:noProof/>
                <w:sz w:val="20"/>
                <w:szCs w:val="20"/>
              </w:rPr>
              <w:t>10001053</w:t>
            </w:r>
            <w:r>
              <w:rPr>
                <w:rFonts w:ascii="Arial" w:hAnsi="Arial" w:cs="Arial"/>
                <w:noProof/>
                <w:sz w:val="20"/>
                <w:szCs w:val="20"/>
              </w:rPr>
              <w:t>: Currently there are 4 liability issues outstanding. The Vendor Reconciliation and GR/IR should be handled through the business office. SUA Vendor Pay Clearing is a “Single-Use Account” Clearing account. This is an electronic credit card based payment solution that has additional controls. Accounts Payable handles these types of transcactions but it is still recommended you work with the business offices to resolve before contacting them directly.</w:t>
            </w:r>
          </w:p>
          <w:p w14:paraId="6663426A" w14:textId="59CE6B86" w:rsidR="0008175F" w:rsidRDefault="00AB4A9B" w:rsidP="0008175F">
            <w:pPr>
              <w:spacing w:before="60" w:after="60"/>
              <w:rPr>
                <w:rFonts w:ascii="Arial" w:hAnsi="Arial" w:cs="Arial"/>
                <w:noProof/>
                <w:sz w:val="20"/>
                <w:szCs w:val="20"/>
              </w:rPr>
            </w:pPr>
            <w:r>
              <w:rPr>
                <w:noProof/>
              </w:rPr>
              <w:drawing>
                <wp:inline distT="0" distB="0" distL="0" distR="0" wp14:anchorId="5EFFDB14" wp14:editId="18848195">
                  <wp:extent cx="4641215" cy="2988310"/>
                  <wp:effectExtent l="0" t="0" r="698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41215" cy="2988310"/>
                          </a:xfrm>
                          <a:prstGeom prst="rect">
                            <a:avLst/>
                          </a:prstGeom>
                        </pic:spPr>
                      </pic:pic>
                    </a:graphicData>
                  </a:graphic>
                </wp:inline>
              </w:drawing>
            </w:r>
          </w:p>
          <w:p w14:paraId="61EC8F96" w14:textId="322998E2" w:rsidR="000D020C" w:rsidRPr="0008175F" w:rsidRDefault="000D020C" w:rsidP="0008175F">
            <w:pPr>
              <w:spacing w:before="60" w:after="60"/>
              <w:rPr>
                <w:rFonts w:ascii="Arial" w:hAnsi="Arial" w:cs="Arial"/>
                <w:noProof/>
                <w:sz w:val="20"/>
                <w:szCs w:val="20"/>
              </w:rPr>
            </w:pPr>
          </w:p>
        </w:tc>
      </w:tr>
      <w:tr w:rsidR="0008175F" w14:paraId="50539E6E" w14:textId="77777777" w:rsidTr="00DF39FE">
        <w:trPr>
          <w:trHeight w:val="141"/>
        </w:trPr>
        <w:tc>
          <w:tcPr>
            <w:tcW w:w="3181" w:type="dxa"/>
            <w:tcBorders>
              <w:top w:val="single" w:sz="12" w:space="0" w:color="auto"/>
              <w:left w:val="single" w:sz="12" w:space="0" w:color="auto"/>
              <w:bottom w:val="single" w:sz="12" w:space="0" w:color="auto"/>
              <w:right w:val="single" w:sz="6" w:space="0" w:color="auto"/>
            </w:tcBorders>
            <w:shd w:val="clear" w:color="auto" w:fill="auto"/>
            <w:vAlign w:val="center"/>
          </w:tcPr>
          <w:p w14:paraId="71205DBE" w14:textId="493CAC4F" w:rsidR="0008175F" w:rsidRPr="0008175F" w:rsidRDefault="004A5272" w:rsidP="0008175F">
            <w:pPr>
              <w:spacing w:before="60" w:after="60"/>
              <w:rPr>
                <w:rFonts w:ascii="Arial" w:hAnsi="Arial" w:cs="Arial"/>
                <w:bCs/>
                <w:sz w:val="20"/>
                <w:szCs w:val="20"/>
              </w:rPr>
            </w:pPr>
            <w:r>
              <w:rPr>
                <w:rFonts w:ascii="Arial" w:hAnsi="Arial" w:cs="Arial"/>
                <w:bCs/>
                <w:sz w:val="20"/>
                <w:szCs w:val="20"/>
              </w:rPr>
              <w:t>Example No. 3</w:t>
            </w:r>
          </w:p>
        </w:tc>
        <w:tc>
          <w:tcPr>
            <w:tcW w:w="7464" w:type="dxa"/>
            <w:tcBorders>
              <w:top w:val="single" w:sz="12" w:space="0" w:color="auto"/>
              <w:left w:val="single" w:sz="6" w:space="0" w:color="auto"/>
              <w:bottom w:val="single" w:sz="12" w:space="0" w:color="auto"/>
              <w:right w:val="single" w:sz="12" w:space="0" w:color="auto"/>
            </w:tcBorders>
            <w:shd w:val="clear" w:color="auto" w:fill="auto"/>
            <w:vAlign w:val="center"/>
          </w:tcPr>
          <w:p w14:paraId="3AC35578" w14:textId="635DDE78" w:rsidR="00AB4A9B" w:rsidRPr="004A5272" w:rsidRDefault="004A5272" w:rsidP="0008175F">
            <w:pPr>
              <w:spacing w:before="60" w:after="60"/>
              <w:rPr>
                <w:rFonts w:ascii="Arial" w:hAnsi="Arial" w:cs="Arial"/>
                <w:b/>
                <w:i/>
                <w:noProof/>
                <w:sz w:val="20"/>
                <w:szCs w:val="20"/>
                <w:u w:val="single"/>
              </w:rPr>
            </w:pPr>
            <w:r>
              <w:rPr>
                <w:rFonts w:ascii="Arial" w:hAnsi="Arial" w:cs="Arial"/>
                <w:noProof/>
                <w:sz w:val="20"/>
                <w:szCs w:val="20"/>
              </w:rPr>
              <w:t>Gra</w:t>
            </w:r>
            <w:r w:rsidR="00AB4A9B">
              <w:rPr>
                <w:rFonts w:ascii="Arial" w:hAnsi="Arial" w:cs="Arial"/>
                <w:noProof/>
                <w:sz w:val="20"/>
                <w:szCs w:val="20"/>
              </w:rPr>
              <w:t xml:space="preserve">nt </w:t>
            </w:r>
            <w:r w:rsidR="00AB4A9B" w:rsidRPr="00AB4A9B">
              <w:rPr>
                <w:rFonts w:ascii="Arial" w:hAnsi="Arial" w:cs="Arial"/>
                <w:b/>
                <w:noProof/>
                <w:sz w:val="20"/>
                <w:szCs w:val="20"/>
              </w:rPr>
              <w:t>40001443</w:t>
            </w:r>
            <w:r w:rsidRPr="004A5272">
              <w:rPr>
                <w:rFonts w:ascii="Arial" w:hAnsi="Arial" w:cs="Arial"/>
                <w:noProof/>
                <w:sz w:val="20"/>
                <w:szCs w:val="20"/>
              </w:rPr>
              <w:t>:</w:t>
            </w:r>
            <w:r>
              <w:rPr>
                <w:rFonts w:ascii="Arial" w:hAnsi="Arial" w:cs="Arial"/>
                <w:noProof/>
                <w:sz w:val="20"/>
                <w:szCs w:val="20"/>
              </w:rPr>
              <w:t xml:space="preserve"> Part of the F&amp;A process tehre are 2 entries that post to the grant on GL 429010 and 429011. 429010 is our SPS-IDC Recovery GL. It offsets to the F&amp;A expense that posts to the grant. This offset should always use the same sponsored program as the expense. 429011 is our GL hat reverses F&amp;A on the sponsored program using an unrestricted fund and moves the entry to the appropriate F&amp;A revovery pool. </w:t>
            </w:r>
          </w:p>
          <w:p w14:paraId="2044B132" w14:textId="1CF41ECF" w:rsidR="004A5272" w:rsidRDefault="004A5272" w:rsidP="0008175F">
            <w:pPr>
              <w:spacing w:before="60" w:after="60"/>
              <w:rPr>
                <w:rFonts w:ascii="Arial" w:hAnsi="Arial" w:cs="Arial"/>
                <w:noProof/>
                <w:sz w:val="20"/>
                <w:szCs w:val="20"/>
              </w:rPr>
            </w:pPr>
            <w:r>
              <w:rPr>
                <w:rFonts w:ascii="Arial" w:hAnsi="Arial" w:cs="Arial"/>
                <w:noProof/>
                <w:sz w:val="20"/>
                <w:szCs w:val="20"/>
              </w:rPr>
              <w:lastRenderedPageBreak/>
              <w:t>In all cases 429010 and 429011 should offset each other. In this case they don’t. A manual JV will be needed to correct these errors.</w:t>
            </w:r>
          </w:p>
          <w:p w14:paraId="3A9063DB" w14:textId="44A310FF" w:rsidR="00E5572A" w:rsidRPr="0008175F" w:rsidRDefault="00AB4A9B" w:rsidP="0008175F">
            <w:pPr>
              <w:spacing w:before="60" w:after="60"/>
              <w:rPr>
                <w:rFonts w:ascii="Arial" w:hAnsi="Arial" w:cs="Arial"/>
                <w:noProof/>
                <w:sz w:val="20"/>
                <w:szCs w:val="20"/>
              </w:rPr>
            </w:pPr>
            <w:r>
              <w:rPr>
                <w:noProof/>
              </w:rPr>
              <w:drawing>
                <wp:inline distT="0" distB="0" distL="0" distR="0" wp14:anchorId="3ECFDEC1" wp14:editId="47A15CF7">
                  <wp:extent cx="4641215" cy="2852420"/>
                  <wp:effectExtent l="0" t="0" r="698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1215" cy="2852420"/>
                          </a:xfrm>
                          <a:prstGeom prst="rect">
                            <a:avLst/>
                          </a:prstGeom>
                        </pic:spPr>
                      </pic:pic>
                    </a:graphicData>
                  </a:graphic>
                </wp:inline>
              </w:drawing>
            </w:r>
          </w:p>
        </w:tc>
      </w:tr>
      <w:tr w:rsidR="000456A8" w14:paraId="0D539FBE" w14:textId="77777777" w:rsidTr="00DF39FE">
        <w:trPr>
          <w:trHeight w:val="3974"/>
        </w:trPr>
        <w:tc>
          <w:tcPr>
            <w:tcW w:w="3181" w:type="dxa"/>
            <w:tcBorders>
              <w:top w:val="single" w:sz="12" w:space="0" w:color="auto"/>
              <w:left w:val="single" w:sz="12" w:space="0" w:color="auto"/>
              <w:bottom w:val="single" w:sz="12" w:space="0" w:color="auto"/>
              <w:right w:val="single" w:sz="6" w:space="0" w:color="auto"/>
            </w:tcBorders>
            <w:shd w:val="clear" w:color="auto" w:fill="auto"/>
            <w:vAlign w:val="center"/>
          </w:tcPr>
          <w:p w14:paraId="1F9D2E87" w14:textId="6F1C0BF7" w:rsidR="000456A8" w:rsidRPr="0008175F" w:rsidRDefault="004A5272" w:rsidP="0008175F">
            <w:pPr>
              <w:spacing w:before="60" w:after="60"/>
              <w:rPr>
                <w:rFonts w:ascii="Arial" w:hAnsi="Arial" w:cs="Arial"/>
                <w:bCs/>
                <w:sz w:val="20"/>
                <w:szCs w:val="20"/>
              </w:rPr>
            </w:pPr>
            <w:r>
              <w:rPr>
                <w:rFonts w:ascii="Arial" w:hAnsi="Arial" w:cs="Arial"/>
                <w:bCs/>
                <w:sz w:val="20"/>
                <w:szCs w:val="20"/>
              </w:rPr>
              <w:lastRenderedPageBreak/>
              <w:t>Example No. 4</w:t>
            </w:r>
            <w:r w:rsidR="000456A8">
              <w:rPr>
                <w:rFonts w:ascii="Arial" w:hAnsi="Arial" w:cs="Arial"/>
                <w:bCs/>
                <w:sz w:val="20"/>
                <w:szCs w:val="20"/>
              </w:rPr>
              <w:t xml:space="preserve"> </w:t>
            </w:r>
          </w:p>
        </w:tc>
        <w:tc>
          <w:tcPr>
            <w:tcW w:w="7464" w:type="dxa"/>
            <w:tcBorders>
              <w:top w:val="single" w:sz="12" w:space="0" w:color="auto"/>
              <w:left w:val="single" w:sz="6" w:space="0" w:color="auto"/>
              <w:bottom w:val="single" w:sz="12" w:space="0" w:color="auto"/>
              <w:right w:val="single" w:sz="12" w:space="0" w:color="auto"/>
            </w:tcBorders>
            <w:shd w:val="clear" w:color="auto" w:fill="auto"/>
            <w:vAlign w:val="center"/>
          </w:tcPr>
          <w:p w14:paraId="35F712E3" w14:textId="57A359D9" w:rsidR="00B1216F" w:rsidRDefault="004A5272" w:rsidP="0008175F">
            <w:pPr>
              <w:spacing w:before="60" w:after="60"/>
              <w:rPr>
                <w:rFonts w:ascii="Arial" w:hAnsi="Arial" w:cs="Arial"/>
                <w:noProof/>
                <w:sz w:val="20"/>
                <w:szCs w:val="20"/>
              </w:rPr>
            </w:pPr>
            <w:r>
              <w:rPr>
                <w:rFonts w:ascii="Arial" w:hAnsi="Arial" w:cs="Arial"/>
                <w:noProof/>
                <w:sz w:val="20"/>
                <w:szCs w:val="20"/>
              </w:rPr>
              <w:t xml:space="preserve">Grant </w:t>
            </w:r>
            <w:r w:rsidRPr="004A5272">
              <w:rPr>
                <w:rFonts w:ascii="Arial" w:hAnsi="Arial" w:cs="Arial"/>
                <w:b/>
                <w:noProof/>
                <w:sz w:val="20"/>
                <w:szCs w:val="20"/>
              </w:rPr>
              <w:t>21000135</w:t>
            </w:r>
            <w:r>
              <w:rPr>
                <w:rFonts w:ascii="Arial" w:hAnsi="Arial" w:cs="Arial"/>
                <w:noProof/>
                <w:sz w:val="20"/>
                <w:szCs w:val="20"/>
              </w:rPr>
              <w:t>: In this case, the grant has more than one business area associated with it. There are accounts for both the College of Engineering and College of Sciense. It is important to not only look at the grant as a whole to validate that everything is correct but it is necessary to also evaluate that each business area has a $0.00 cash balance. Only when all busuiness areas are balanced is the grant ready to close.</w:t>
            </w:r>
          </w:p>
          <w:p w14:paraId="30BAD072" w14:textId="5B0CFB15" w:rsidR="004A5272" w:rsidRDefault="004A5272" w:rsidP="0008175F">
            <w:pPr>
              <w:spacing w:before="60" w:after="60"/>
              <w:rPr>
                <w:rFonts w:ascii="Arial" w:hAnsi="Arial" w:cs="Arial"/>
                <w:noProof/>
                <w:sz w:val="20"/>
                <w:szCs w:val="20"/>
              </w:rPr>
            </w:pPr>
            <w:r>
              <w:rPr>
                <w:noProof/>
              </w:rPr>
              <w:drawing>
                <wp:inline distT="0" distB="0" distL="0" distR="0" wp14:anchorId="1C094865" wp14:editId="2B2B1685">
                  <wp:extent cx="4429125" cy="1190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29125" cy="1190625"/>
                          </a:xfrm>
                          <a:prstGeom prst="rect">
                            <a:avLst/>
                          </a:prstGeom>
                        </pic:spPr>
                      </pic:pic>
                    </a:graphicData>
                  </a:graphic>
                </wp:inline>
              </w:drawing>
            </w:r>
          </w:p>
          <w:p w14:paraId="6C0EC2CA" w14:textId="66A24CA5" w:rsidR="00B1216F" w:rsidRPr="000456A8" w:rsidRDefault="00B1216F" w:rsidP="0008175F">
            <w:pPr>
              <w:spacing w:before="60" w:after="60"/>
              <w:rPr>
                <w:rFonts w:ascii="Arial" w:hAnsi="Arial" w:cs="Arial"/>
                <w:noProof/>
                <w:sz w:val="20"/>
                <w:szCs w:val="20"/>
              </w:rPr>
            </w:pPr>
          </w:p>
        </w:tc>
      </w:tr>
      <w:tr w:rsidR="00B1216F" w14:paraId="0C6A0273" w14:textId="77777777" w:rsidTr="00DF39FE">
        <w:trPr>
          <w:trHeight w:val="5118"/>
        </w:trPr>
        <w:tc>
          <w:tcPr>
            <w:tcW w:w="3181" w:type="dxa"/>
            <w:tcBorders>
              <w:top w:val="single" w:sz="12" w:space="0" w:color="auto"/>
              <w:left w:val="single" w:sz="12" w:space="0" w:color="auto"/>
              <w:bottom w:val="single" w:sz="12" w:space="0" w:color="auto"/>
              <w:right w:val="single" w:sz="6" w:space="0" w:color="auto"/>
            </w:tcBorders>
            <w:shd w:val="clear" w:color="auto" w:fill="auto"/>
            <w:vAlign w:val="center"/>
          </w:tcPr>
          <w:p w14:paraId="7FCD6E05" w14:textId="018C8540" w:rsidR="00B1216F" w:rsidRDefault="004A5272" w:rsidP="004A5272">
            <w:pPr>
              <w:spacing w:before="60" w:after="60"/>
              <w:rPr>
                <w:rFonts w:ascii="Arial" w:hAnsi="Arial" w:cs="Arial"/>
                <w:bCs/>
                <w:sz w:val="20"/>
                <w:szCs w:val="20"/>
              </w:rPr>
            </w:pPr>
            <w:r>
              <w:rPr>
                <w:rFonts w:ascii="Arial" w:hAnsi="Arial" w:cs="Arial"/>
                <w:bCs/>
                <w:sz w:val="20"/>
                <w:szCs w:val="20"/>
              </w:rPr>
              <w:lastRenderedPageBreak/>
              <w:t xml:space="preserve">Additional Definitions </w:t>
            </w:r>
          </w:p>
        </w:tc>
        <w:tc>
          <w:tcPr>
            <w:tcW w:w="7464" w:type="dxa"/>
            <w:tcBorders>
              <w:top w:val="single" w:sz="12" w:space="0" w:color="auto"/>
              <w:left w:val="single" w:sz="6" w:space="0" w:color="auto"/>
              <w:bottom w:val="single" w:sz="12" w:space="0" w:color="auto"/>
              <w:right w:val="single" w:sz="12" w:space="0" w:color="auto"/>
            </w:tcBorders>
            <w:shd w:val="clear" w:color="auto" w:fill="auto"/>
            <w:vAlign w:val="center"/>
          </w:tcPr>
          <w:p w14:paraId="209ED6E9" w14:textId="77777777" w:rsidR="004A5272" w:rsidRDefault="004A5272" w:rsidP="004A5272">
            <w:pPr>
              <w:spacing w:after="160" w:line="259" w:lineRule="auto"/>
              <w:rPr>
                <w:noProof/>
              </w:rPr>
            </w:pPr>
            <w:r w:rsidRPr="004A5272">
              <w:rPr>
                <w:b/>
                <w:noProof/>
                <w:u w:val="single"/>
              </w:rPr>
              <w:t>Cash Balance</w:t>
            </w:r>
            <w:r>
              <w:rPr>
                <w:noProof/>
              </w:rPr>
              <w:t>: Balance of cash on the grant (FI) (Statistical entry which nets all activity posted to the grant on 4, 5, asset, liability)</w:t>
            </w:r>
          </w:p>
          <w:p w14:paraId="4B69E606" w14:textId="74D186FE" w:rsidR="004A5272" w:rsidRDefault="004A5272" w:rsidP="004A5272">
            <w:pPr>
              <w:spacing w:after="160" w:line="259" w:lineRule="auto"/>
              <w:rPr>
                <w:noProof/>
              </w:rPr>
            </w:pPr>
            <w:r w:rsidRPr="004A5272">
              <w:rPr>
                <w:b/>
                <w:noProof/>
                <w:u w:val="single"/>
              </w:rPr>
              <w:t>Other Assets</w:t>
            </w:r>
            <w:r>
              <w:rPr>
                <w:noProof/>
              </w:rPr>
              <w:t>: Purchase Price of equipment or outstanding invoice (A/R).  If there is an A/R reconciliation outstanding this should be resolved before closing.</w:t>
            </w:r>
          </w:p>
          <w:p w14:paraId="46532064" w14:textId="706A021E" w:rsidR="004A5272" w:rsidRDefault="004A5272" w:rsidP="004A5272">
            <w:pPr>
              <w:spacing w:after="160" w:line="259" w:lineRule="auto"/>
              <w:rPr>
                <w:noProof/>
              </w:rPr>
            </w:pPr>
            <w:r w:rsidRPr="004A5272">
              <w:rPr>
                <w:b/>
                <w:noProof/>
                <w:u w:val="single"/>
              </w:rPr>
              <w:t>Liabilities:</w:t>
            </w:r>
            <w:r>
              <w:rPr>
                <w:noProof/>
              </w:rPr>
              <w:t xml:space="preserve"> </w:t>
            </w:r>
            <w:r w:rsidRPr="007F0B88">
              <w:rPr>
                <w:i/>
                <w:noProof/>
              </w:rPr>
              <w:t>Recon</w:t>
            </w:r>
            <w:r>
              <w:rPr>
                <w:noProof/>
              </w:rPr>
              <w:t xml:space="preserve"> – This is the vendor payable.  Purdue received an invoice for a vendor that is due, but not paid. </w:t>
            </w:r>
            <w:r w:rsidRPr="007F0B88">
              <w:rPr>
                <w:i/>
                <w:noProof/>
              </w:rPr>
              <w:t>Gr/Ir</w:t>
            </w:r>
            <w:r>
              <w:rPr>
                <w:noProof/>
              </w:rPr>
              <w:t xml:space="preserve"> – Goods have been received and expenses posted, but haven’t received the invoice which is why it is in GR/IR, or received the invoice, but it was for a difference from what was ordered.  </w:t>
            </w:r>
          </w:p>
          <w:p w14:paraId="0D818E28" w14:textId="2B36871B" w:rsidR="004A5272" w:rsidRDefault="004A5272" w:rsidP="004A5272">
            <w:pPr>
              <w:spacing w:after="160" w:line="259" w:lineRule="auto"/>
              <w:rPr>
                <w:noProof/>
              </w:rPr>
            </w:pPr>
            <w:r w:rsidRPr="007F0B88">
              <w:rPr>
                <w:b/>
                <w:noProof/>
                <w:u w:val="single"/>
              </w:rPr>
              <w:t>Fund Balance</w:t>
            </w:r>
            <w:r>
              <w:rPr>
                <w:noProof/>
              </w:rPr>
              <w:t>:</w:t>
            </w:r>
            <w:r w:rsidR="007F0B88">
              <w:rPr>
                <w:noProof/>
              </w:rPr>
              <w:t xml:space="preserve"> </w:t>
            </w:r>
            <w:r>
              <w:rPr>
                <w:noProof/>
              </w:rPr>
              <w:t>The life to date revenue – expense.  Assets and Liabilities are also included.</w:t>
            </w:r>
          </w:p>
          <w:p w14:paraId="6A5C4030" w14:textId="3E128582" w:rsidR="004A5272" w:rsidRDefault="004A5272" w:rsidP="004A5272">
            <w:pPr>
              <w:spacing w:after="160" w:line="259" w:lineRule="auto"/>
              <w:rPr>
                <w:noProof/>
              </w:rPr>
            </w:pPr>
            <w:r w:rsidRPr="007F0B88">
              <w:rPr>
                <w:b/>
                <w:noProof/>
                <w:u w:val="single"/>
              </w:rPr>
              <w:t>Revenue:</w:t>
            </w:r>
            <w:r>
              <w:rPr>
                <w:noProof/>
              </w:rPr>
              <w:t xml:space="preserve"> Amount of Income posted during the current Fiscal Year</w:t>
            </w:r>
          </w:p>
          <w:p w14:paraId="0702AB15" w14:textId="6D981115" w:rsidR="00B1216F" w:rsidRPr="000456A8" w:rsidRDefault="004A5272" w:rsidP="003043F1">
            <w:pPr>
              <w:spacing w:after="160" w:line="259" w:lineRule="auto"/>
              <w:rPr>
                <w:noProof/>
              </w:rPr>
            </w:pPr>
            <w:r w:rsidRPr="007F0B88">
              <w:rPr>
                <w:b/>
                <w:noProof/>
                <w:u w:val="single"/>
              </w:rPr>
              <w:t>Expense:</w:t>
            </w:r>
            <w:r>
              <w:rPr>
                <w:noProof/>
              </w:rPr>
              <w:t xml:space="preserve"> Amount of Expenses posted during the current Fiscal Year</w:t>
            </w:r>
          </w:p>
        </w:tc>
      </w:tr>
      <w:tr w:rsidR="00B1216F" w14:paraId="4C967BD6" w14:textId="77777777" w:rsidTr="00DF39FE">
        <w:trPr>
          <w:trHeight w:val="503"/>
        </w:trPr>
        <w:tc>
          <w:tcPr>
            <w:tcW w:w="3181" w:type="dxa"/>
            <w:tcBorders>
              <w:top w:val="single" w:sz="12" w:space="0" w:color="auto"/>
              <w:left w:val="single" w:sz="12" w:space="0" w:color="auto"/>
              <w:bottom w:val="single" w:sz="12" w:space="0" w:color="auto"/>
              <w:right w:val="single" w:sz="6" w:space="0" w:color="auto"/>
            </w:tcBorders>
            <w:shd w:val="clear" w:color="auto" w:fill="auto"/>
            <w:vAlign w:val="center"/>
          </w:tcPr>
          <w:p w14:paraId="38A96F72" w14:textId="66EC22D1" w:rsidR="00B1216F" w:rsidRDefault="00B1216F" w:rsidP="0008175F">
            <w:pPr>
              <w:spacing w:before="60" w:after="60"/>
              <w:rPr>
                <w:rFonts w:ascii="Arial" w:hAnsi="Arial" w:cs="Arial"/>
                <w:bCs/>
                <w:sz w:val="20"/>
                <w:szCs w:val="20"/>
              </w:rPr>
            </w:pPr>
          </w:p>
        </w:tc>
        <w:tc>
          <w:tcPr>
            <w:tcW w:w="7464" w:type="dxa"/>
            <w:tcBorders>
              <w:top w:val="single" w:sz="12" w:space="0" w:color="auto"/>
              <w:left w:val="single" w:sz="6" w:space="0" w:color="auto"/>
              <w:bottom w:val="single" w:sz="12" w:space="0" w:color="auto"/>
              <w:right w:val="single" w:sz="12" w:space="0" w:color="auto"/>
            </w:tcBorders>
            <w:shd w:val="clear" w:color="auto" w:fill="auto"/>
            <w:vAlign w:val="center"/>
          </w:tcPr>
          <w:p w14:paraId="57254A0B" w14:textId="4F549415" w:rsidR="00B1216F" w:rsidRPr="00DF39FE" w:rsidRDefault="00DF39FE" w:rsidP="00B1216F">
            <w:pPr>
              <w:rPr>
                <w:noProof/>
              </w:rPr>
            </w:pPr>
            <w:r>
              <w:rPr>
                <w:noProof/>
              </w:rPr>
              <w:t>The T-Code GR55, Z500 is a Year-to-Date accounting report which can be run by grant.  While this report is primarily used in closing it can be used to obtain additional information for reports during the current fiscal year.</w:t>
            </w:r>
          </w:p>
        </w:tc>
      </w:tr>
      <w:tr w:rsidR="00B1216F" w14:paraId="1846B174" w14:textId="77777777" w:rsidTr="00DF39FE">
        <w:trPr>
          <w:trHeight w:val="50"/>
        </w:trPr>
        <w:tc>
          <w:tcPr>
            <w:tcW w:w="3181" w:type="dxa"/>
            <w:tcBorders>
              <w:top w:val="single" w:sz="12" w:space="0" w:color="auto"/>
              <w:left w:val="single" w:sz="12" w:space="0" w:color="auto"/>
              <w:bottom w:val="single" w:sz="6" w:space="0" w:color="auto"/>
              <w:right w:val="single" w:sz="6" w:space="0" w:color="auto"/>
            </w:tcBorders>
            <w:shd w:val="clear" w:color="auto" w:fill="auto"/>
            <w:vAlign w:val="center"/>
          </w:tcPr>
          <w:p w14:paraId="614C63B6" w14:textId="3E785316" w:rsidR="00B1216F" w:rsidRDefault="00B1216F" w:rsidP="0008175F">
            <w:pPr>
              <w:spacing w:before="60" w:after="60"/>
              <w:rPr>
                <w:rFonts w:ascii="Arial" w:hAnsi="Arial" w:cs="Arial"/>
                <w:bCs/>
                <w:sz w:val="20"/>
                <w:szCs w:val="20"/>
              </w:rPr>
            </w:pPr>
          </w:p>
        </w:tc>
        <w:tc>
          <w:tcPr>
            <w:tcW w:w="7464" w:type="dxa"/>
            <w:tcBorders>
              <w:top w:val="single" w:sz="12" w:space="0" w:color="auto"/>
              <w:left w:val="single" w:sz="6" w:space="0" w:color="auto"/>
              <w:bottom w:val="single" w:sz="6" w:space="0" w:color="auto"/>
              <w:right w:val="single" w:sz="12" w:space="0" w:color="auto"/>
            </w:tcBorders>
            <w:shd w:val="clear" w:color="auto" w:fill="auto"/>
            <w:vAlign w:val="center"/>
          </w:tcPr>
          <w:p w14:paraId="4A9A3095" w14:textId="2AF6FEB1" w:rsidR="00B1216F" w:rsidRPr="00DF39FE" w:rsidRDefault="00DF39FE" w:rsidP="00B1216F">
            <w:r w:rsidRPr="00DF39FE">
              <w:t xml:space="preserve">When closing a grant all sub-accounts in GR55 must balance. Out of </w:t>
            </w:r>
            <w:proofErr w:type="gramStart"/>
            <w:r w:rsidRPr="00DF39FE">
              <w:t>balance</w:t>
            </w:r>
            <w:proofErr w:type="gramEnd"/>
            <w:r w:rsidRPr="00DF39FE">
              <w:t xml:space="preserve"> issues will part</w:t>
            </w:r>
            <w:r w:rsidR="00CB0B53">
              <w:t>icularly show up in the cases of</w:t>
            </w:r>
            <w:r w:rsidRPr="00DF39FE">
              <w:t xml:space="preserve"> Unearned Revenue. Similar to </w:t>
            </w:r>
            <w:r w:rsidR="00CB0B53">
              <w:t>c</w:t>
            </w:r>
            <w:r w:rsidRPr="00DF39FE">
              <w:t xml:space="preserve">ost share if any balance adjustments </w:t>
            </w:r>
            <w:proofErr w:type="gramStart"/>
            <w:r w:rsidRPr="00DF39FE">
              <w:t>are made</w:t>
            </w:r>
            <w:proofErr w:type="gramEnd"/>
            <w:r w:rsidRPr="00DF39FE">
              <w:t xml:space="preserve"> on the grant you must wait </w:t>
            </w:r>
            <w:r w:rsidR="00CB0B53">
              <w:t>until</w:t>
            </w:r>
            <w:r w:rsidRPr="00DF39FE">
              <w:t xml:space="preserve"> the next day to close out the grant to allow SAP to adjust cash.</w:t>
            </w:r>
          </w:p>
        </w:tc>
      </w:tr>
    </w:tbl>
    <w:p w14:paraId="0C37FDB4" w14:textId="03C84A9A" w:rsidR="00233BF8" w:rsidRPr="00A36FEB" w:rsidRDefault="00233BF8" w:rsidP="00DF39FE">
      <w:pPr>
        <w:tabs>
          <w:tab w:val="left" w:pos="6405"/>
        </w:tabs>
        <w:rPr>
          <w:rFonts w:ascii="Verdana" w:hAnsi="Verdana" w:cs="Arial"/>
          <w:sz w:val="20"/>
          <w:szCs w:val="20"/>
        </w:rPr>
      </w:pPr>
    </w:p>
    <w:sectPr w:rsidR="00233BF8" w:rsidRPr="00A36FEB" w:rsidSect="00705149">
      <w:headerReference w:type="default" r:id="rId20"/>
      <w:footerReference w:type="default" r:id="rId21"/>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7FDB7" w14:textId="77777777" w:rsidR="002A52E6" w:rsidRDefault="002A52E6" w:rsidP="00654D65">
      <w:pPr>
        <w:spacing w:after="0" w:line="240" w:lineRule="auto"/>
      </w:pPr>
      <w:r>
        <w:separator/>
      </w:r>
    </w:p>
  </w:endnote>
  <w:endnote w:type="continuationSeparator" w:id="0">
    <w:p w14:paraId="0C37FDB8" w14:textId="77777777" w:rsidR="002A52E6" w:rsidRDefault="002A52E6" w:rsidP="0065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FDBF" w14:textId="2621814D" w:rsidR="002A52E6" w:rsidRPr="0071497E" w:rsidRDefault="00F10866" w:rsidP="00D151F3">
    <w:pPr>
      <w:pStyle w:val="Footer"/>
      <w:jc w:val="center"/>
      <w:rPr>
        <w:rFonts w:ascii="Arial" w:hAnsi="Arial" w:cs="Arial"/>
        <w:sz w:val="16"/>
        <w:szCs w:val="16"/>
      </w:rPr>
    </w:pPr>
    <w:r>
      <w:rPr>
        <w:rFonts w:ascii="Arial" w:hAnsi="Arial" w:cs="Arial"/>
        <w:sz w:val="16"/>
        <w:szCs w:val="16"/>
      </w:rPr>
      <w:t>© 2018</w:t>
    </w:r>
    <w:r w:rsidR="002A52E6" w:rsidRPr="0071497E">
      <w:rPr>
        <w:rFonts w:ascii="Arial" w:hAnsi="Arial" w:cs="Arial"/>
        <w:sz w:val="16"/>
        <w:szCs w:val="16"/>
      </w:rPr>
      <w:t xml:space="preserve"> Purdue University</w:t>
    </w:r>
  </w:p>
  <w:p w14:paraId="0C37FDC0" w14:textId="3979FDCD" w:rsidR="002A52E6" w:rsidRPr="0071497E" w:rsidRDefault="002A52E6" w:rsidP="00D151F3">
    <w:pPr>
      <w:pStyle w:val="Footer"/>
      <w:jc w:val="center"/>
      <w:rPr>
        <w:rFonts w:ascii="Arial" w:hAnsi="Arial" w:cs="Arial"/>
        <w:sz w:val="16"/>
        <w:szCs w:val="16"/>
      </w:rPr>
    </w:pPr>
    <w:r w:rsidRPr="0071497E">
      <w:rPr>
        <w:rFonts w:ascii="Arial" w:hAnsi="Arial" w:cs="Arial"/>
        <w:sz w:val="16"/>
        <w:szCs w:val="16"/>
      </w:rPr>
      <w:t xml:space="preserve">Last Updated </w:t>
    </w:r>
    <w:r w:rsidR="00F10866">
      <w:rPr>
        <w:rFonts w:ascii="Arial" w:hAnsi="Arial" w:cs="Arial"/>
        <w:sz w:val="16"/>
        <w:szCs w:val="16"/>
      </w:rPr>
      <w:t>10/29/2018</w:t>
    </w:r>
  </w:p>
  <w:p w14:paraId="0C37FDC1" w14:textId="6E5E2D34" w:rsidR="002A52E6" w:rsidRPr="005F418F" w:rsidRDefault="002A52E6" w:rsidP="0071497E">
    <w:pPr>
      <w:pStyle w:val="Footer"/>
      <w:jc w:val="center"/>
      <w:rPr>
        <w:rFonts w:ascii="Verdana" w:hAnsi="Verdana" w:cs="Arial"/>
        <w:sz w:val="20"/>
        <w:szCs w:val="20"/>
      </w:rPr>
    </w:pPr>
    <w:r w:rsidRPr="0071497E">
      <w:rPr>
        <w:rFonts w:ascii="Arial" w:hAnsi="Arial" w:cs="Arial"/>
        <w:noProof/>
        <w:sz w:val="16"/>
        <w:szCs w:val="16"/>
      </w:rPr>
      <w:t xml:space="preserve">Page </w:t>
    </w:r>
    <w:r w:rsidRPr="0071497E">
      <w:rPr>
        <w:rFonts w:ascii="Arial" w:hAnsi="Arial" w:cs="Arial"/>
        <w:b/>
        <w:noProof/>
        <w:sz w:val="16"/>
        <w:szCs w:val="16"/>
      </w:rPr>
      <w:fldChar w:fldCharType="begin"/>
    </w:r>
    <w:r w:rsidRPr="0071497E">
      <w:rPr>
        <w:rFonts w:ascii="Arial" w:hAnsi="Arial" w:cs="Arial"/>
        <w:b/>
        <w:noProof/>
        <w:sz w:val="16"/>
        <w:szCs w:val="16"/>
      </w:rPr>
      <w:instrText xml:space="preserve"> PAGE  \* Arabic  \* MERGEFORMAT </w:instrText>
    </w:r>
    <w:r w:rsidRPr="0071497E">
      <w:rPr>
        <w:rFonts w:ascii="Arial" w:hAnsi="Arial" w:cs="Arial"/>
        <w:b/>
        <w:noProof/>
        <w:sz w:val="16"/>
        <w:szCs w:val="16"/>
      </w:rPr>
      <w:fldChar w:fldCharType="separate"/>
    </w:r>
    <w:r w:rsidR="003043F1">
      <w:rPr>
        <w:rFonts w:ascii="Arial" w:hAnsi="Arial" w:cs="Arial"/>
        <w:b/>
        <w:noProof/>
        <w:sz w:val="16"/>
        <w:szCs w:val="16"/>
      </w:rPr>
      <w:t>1</w:t>
    </w:r>
    <w:r w:rsidRPr="0071497E">
      <w:rPr>
        <w:rFonts w:ascii="Arial" w:hAnsi="Arial" w:cs="Arial"/>
        <w:b/>
        <w:noProof/>
        <w:sz w:val="16"/>
        <w:szCs w:val="16"/>
      </w:rPr>
      <w:fldChar w:fldCharType="end"/>
    </w:r>
    <w:r w:rsidRPr="0071497E">
      <w:rPr>
        <w:rFonts w:ascii="Arial" w:hAnsi="Arial" w:cs="Arial"/>
        <w:noProof/>
        <w:sz w:val="16"/>
        <w:szCs w:val="16"/>
      </w:rPr>
      <w:t xml:space="preserve"> of </w:t>
    </w:r>
    <w:r w:rsidRPr="0071497E">
      <w:rPr>
        <w:rFonts w:ascii="Arial" w:hAnsi="Arial" w:cs="Arial"/>
        <w:b/>
        <w:noProof/>
        <w:sz w:val="16"/>
        <w:szCs w:val="16"/>
      </w:rPr>
      <w:fldChar w:fldCharType="begin"/>
    </w:r>
    <w:r w:rsidRPr="0071497E">
      <w:rPr>
        <w:rFonts w:ascii="Arial" w:hAnsi="Arial" w:cs="Arial"/>
        <w:b/>
        <w:noProof/>
        <w:sz w:val="16"/>
        <w:szCs w:val="16"/>
      </w:rPr>
      <w:instrText xml:space="preserve"> NUMPAGES  \* Arabic  \* MERGEFORMAT </w:instrText>
    </w:r>
    <w:r w:rsidRPr="0071497E">
      <w:rPr>
        <w:rFonts w:ascii="Arial" w:hAnsi="Arial" w:cs="Arial"/>
        <w:b/>
        <w:noProof/>
        <w:sz w:val="16"/>
        <w:szCs w:val="16"/>
      </w:rPr>
      <w:fldChar w:fldCharType="separate"/>
    </w:r>
    <w:r w:rsidR="003043F1">
      <w:rPr>
        <w:rFonts w:ascii="Arial" w:hAnsi="Arial" w:cs="Arial"/>
        <w:b/>
        <w:noProof/>
        <w:sz w:val="16"/>
        <w:szCs w:val="16"/>
      </w:rPr>
      <w:t>4</w:t>
    </w:r>
    <w:r w:rsidRPr="0071497E">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7FDB5" w14:textId="77777777" w:rsidR="002A52E6" w:rsidRDefault="002A52E6" w:rsidP="00654D65">
      <w:pPr>
        <w:spacing w:after="0" w:line="240" w:lineRule="auto"/>
      </w:pPr>
      <w:r>
        <w:separator/>
      </w:r>
    </w:p>
  </w:footnote>
  <w:footnote w:type="continuationSeparator" w:id="0">
    <w:p w14:paraId="0C37FDB6" w14:textId="77777777" w:rsidR="002A52E6" w:rsidRDefault="002A52E6" w:rsidP="0065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348"/>
      <w:gridCol w:w="7452"/>
    </w:tblGrid>
    <w:tr w:rsidR="002A52E6" w:rsidRPr="00D80104" w14:paraId="0C37FDBD" w14:textId="77777777" w:rsidTr="00233BF8">
      <w:trPr>
        <w:trHeight w:val="659"/>
      </w:trPr>
      <w:tc>
        <w:tcPr>
          <w:tcW w:w="3510" w:type="dxa"/>
          <w:shd w:val="clear" w:color="auto" w:fill="auto"/>
        </w:tcPr>
        <w:p w14:paraId="0C37FDB9" w14:textId="2909450B" w:rsidR="002A52E6" w:rsidRPr="00D80104" w:rsidRDefault="009B3B13" w:rsidP="0071497E">
          <w:pPr>
            <w:pStyle w:val="Header"/>
          </w:pPr>
          <w:r>
            <w:rPr>
              <w:noProof/>
            </w:rPr>
            <w:drawing>
              <wp:inline distT="0" distB="0" distL="0" distR="0" wp14:anchorId="0C37FDC2" wp14:editId="1288E6C1">
                <wp:extent cx="18097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p>
      </w:tc>
      <w:tc>
        <w:tcPr>
          <w:tcW w:w="10833" w:type="dxa"/>
          <w:shd w:val="clear" w:color="auto" w:fill="auto"/>
        </w:tcPr>
        <w:p w14:paraId="0C37FDBA" w14:textId="77777777" w:rsidR="002A52E6" w:rsidRPr="00D80104" w:rsidRDefault="002A52E6" w:rsidP="00233BF8">
          <w:pPr>
            <w:pStyle w:val="Header"/>
            <w:tabs>
              <w:tab w:val="left" w:pos="180"/>
            </w:tabs>
            <w:jc w:val="right"/>
            <w:rPr>
              <w:rFonts w:ascii="Arial" w:hAnsi="Arial"/>
              <w:b/>
              <w:i/>
              <w:iCs/>
              <w:color w:val="B1946C"/>
              <w:sz w:val="28"/>
              <w:szCs w:val="28"/>
            </w:rPr>
          </w:pPr>
        </w:p>
        <w:p w14:paraId="0C37FDBB" w14:textId="77777777" w:rsidR="002A52E6" w:rsidRPr="00D80104" w:rsidRDefault="002A52E6" w:rsidP="00233BF8">
          <w:pPr>
            <w:pStyle w:val="Header"/>
            <w:tabs>
              <w:tab w:val="left" w:pos="180"/>
            </w:tabs>
            <w:jc w:val="right"/>
            <w:rPr>
              <w:rFonts w:ascii="Arial" w:hAnsi="Arial"/>
              <w:b/>
              <w:bCs/>
              <w:i/>
              <w:iCs/>
              <w:color w:val="B1946C"/>
              <w:sz w:val="28"/>
              <w:szCs w:val="28"/>
            </w:rPr>
          </w:pPr>
          <w:r w:rsidRPr="00D80104">
            <w:rPr>
              <w:rFonts w:ascii="Arial" w:hAnsi="Arial"/>
              <w:b/>
              <w:i/>
              <w:iCs/>
              <w:color w:val="B1946C"/>
              <w:sz w:val="28"/>
              <w:szCs w:val="28"/>
            </w:rPr>
            <w:t>Quick Reference Card</w:t>
          </w:r>
        </w:p>
        <w:p w14:paraId="0C37FDBC" w14:textId="06806EB9" w:rsidR="002A52E6" w:rsidRPr="00D80104" w:rsidRDefault="00E5572A" w:rsidP="00233BF8">
          <w:pPr>
            <w:pStyle w:val="Header"/>
            <w:jc w:val="right"/>
            <w:rPr>
              <w:rFonts w:ascii="Arial" w:hAnsi="Arial"/>
              <w:b/>
              <w:bCs/>
              <w:i/>
              <w:iCs/>
              <w:color w:val="B1946C"/>
              <w:sz w:val="28"/>
              <w:szCs w:val="28"/>
            </w:rPr>
          </w:pPr>
          <w:r>
            <w:rPr>
              <w:rFonts w:ascii="Arial" w:hAnsi="Arial"/>
              <w:b/>
              <w:sz w:val="28"/>
              <w:szCs w:val="28"/>
            </w:rPr>
            <w:t>Running GR55 Report</w:t>
          </w:r>
        </w:p>
      </w:tc>
    </w:tr>
  </w:tbl>
  <w:p w14:paraId="0C37FDBE" w14:textId="70FFDB83" w:rsidR="002A52E6" w:rsidRPr="002A398A" w:rsidRDefault="009B3B13" w:rsidP="00233BF8">
    <w:pPr>
      <w:pStyle w:val="Header"/>
      <w:tabs>
        <w:tab w:val="clear" w:pos="9360"/>
        <w:tab w:val="left" w:pos="5160"/>
      </w:tabs>
    </w:pPr>
    <w:r>
      <w:rPr>
        <w:noProof/>
      </w:rPr>
      <mc:AlternateContent>
        <mc:Choice Requires="wps">
          <w:drawing>
            <wp:anchor distT="0" distB="0" distL="114300" distR="114300" simplePos="0" relativeHeight="251658240" behindDoc="0" locked="0" layoutInCell="1" allowOverlap="1" wp14:anchorId="0C37FDC3" wp14:editId="13319A79">
              <wp:simplePos x="0" y="0"/>
              <wp:positionH relativeFrom="margin">
                <wp:align>center</wp:align>
              </wp:positionH>
              <wp:positionV relativeFrom="paragraph">
                <wp:posOffset>51435</wp:posOffset>
              </wp:positionV>
              <wp:extent cx="7315200" cy="635"/>
              <wp:effectExtent l="9525" t="13335"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D6128"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wIIAIAAD0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F4B81"/>
    <w:multiLevelType w:val="hybridMultilevel"/>
    <w:tmpl w:val="B11C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34E61"/>
    <w:multiLevelType w:val="hybridMultilevel"/>
    <w:tmpl w:val="A8E281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564D0"/>
    <w:multiLevelType w:val="hybridMultilevel"/>
    <w:tmpl w:val="A8E281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B7238C"/>
    <w:multiLevelType w:val="hybridMultilevel"/>
    <w:tmpl w:val="B708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22A9F"/>
    <w:multiLevelType w:val="hybridMultilevel"/>
    <w:tmpl w:val="7B48E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41"/>
    <w:rsid w:val="00012E87"/>
    <w:rsid w:val="00016CC6"/>
    <w:rsid w:val="00025876"/>
    <w:rsid w:val="00044910"/>
    <w:rsid w:val="000456A8"/>
    <w:rsid w:val="0007250E"/>
    <w:rsid w:val="0008175F"/>
    <w:rsid w:val="00090075"/>
    <w:rsid w:val="000A3F3B"/>
    <w:rsid w:val="000C7041"/>
    <w:rsid w:val="000D020C"/>
    <w:rsid w:val="000D1E7F"/>
    <w:rsid w:val="00124121"/>
    <w:rsid w:val="00126965"/>
    <w:rsid w:val="00143306"/>
    <w:rsid w:val="00147F5F"/>
    <w:rsid w:val="00157872"/>
    <w:rsid w:val="00162373"/>
    <w:rsid w:val="00180197"/>
    <w:rsid w:val="00194CF7"/>
    <w:rsid w:val="001D7827"/>
    <w:rsid w:val="001F4121"/>
    <w:rsid w:val="0020089F"/>
    <w:rsid w:val="00215F41"/>
    <w:rsid w:val="00225097"/>
    <w:rsid w:val="00233BF8"/>
    <w:rsid w:val="00234BA3"/>
    <w:rsid w:val="00237E23"/>
    <w:rsid w:val="0024085A"/>
    <w:rsid w:val="00250B2D"/>
    <w:rsid w:val="00250E9C"/>
    <w:rsid w:val="00252DB6"/>
    <w:rsid w:val="0025402C"/>
    <w:rsid w:val="00283581"/>
    <w:rsid w:val="002A398A"/>
    <w:rsid w:val="002A52E6"/>
    <w:rsid w:val="002C79EB"/>
    <w:rsid w:val="002E2EF4"/>
    <w:rsid w:val="002F1E51"/>
    <w:rsid w:val="003043F1"/>
    <w:rsid w:val="003453FF"/>
    <w:rsid w:val="00351726"/>
    <w:rsid w:val="00370D05"/>
    <w:rsid w:val="00373A2C"/>
    <w:rsid w:val="003A083D"/>
    <w:rsid w:val="003A2A48"/>
    <w:rsid w:val="003C30B6"/>
    <w:rsid w:val="003C6479"/>
    <w:rsid w:val="00413674"/>
    <w:rsid w:val="004177B6"/>
    <w:rsid w:val="00420F56"/>
    <w:rsid w:val="00435195"/>
    <w:rsid w:val="0044606D"/>
    <w:rsid w:val="00480A1B"/>
    <w:rsid w:val="004A069D"/>
    <w:rsid w:val="004A1CB7"/>
    <w:rsid w:val="004A5272"/>
    <w:rsid w:val="004C2B94"/>
    <w:rsid w:val="004D12A4"/>
    <w:rsid w:val="004D56E9"/>
    <w:rsid w:val="005656FD"/>
    <w:rsid w:val="00583DE9"/>
    <w:rsid w:val="005864F4"/>
    <w:rsid w:val="005C3709"/>
    <w:rsid w:val="005C5C86"/>
    <w:rsid w:val="005D301D"/>
    <w:rsid w:val="005F1C7C"/>
    <w:rsid w:val="005F418F"/>
    <w:rsid w:val="006102D0"/>
    <w:rsid w:val="00611712"/>
    <w:rsid w:val="00622D87"/>
    <w:rsid w:val="00654D65"/>
    <w:rsid w:val="006643E6"/>
    <w:rsid w:val="00670AAD"/>
    <w:rsid w:val="0069607F"/>
    <w:rsid w:val="006D13BA"/>
    <w:rsid w:val="006E476D"/>
    <w:rsid w:val="006E60AF"/>
    <w:rsid w:val="006F0880"/>
    <w:rsid w:val="00705149"/>
    <w:rsid w:val="0071497E"/>
    <w:rsid w:val="007331E4"/>
    <w:rsid w:val="0073327C"/>
    <w:rsid w:val="00746E7E"/>
    <w:rsid w:val="00795D27"/>
    <w:rsid w:val="007B0E7A"/>
    <w:rsid w:val="007D3FBF"/>
    <w:rsid w:val="007F0B88"/>
    <w:rsid w:val="008473AC"/>
    <w:rsid w:val="00847F5C"/>
    <w:rsid w:val="00891AFE"/>
    <w:rsid w:val="008923D7"/>
    <w:rsid w:val="008B17E2"/>
    <w:rsid w:val="008B61C3"/>
    <w:rsid w:val="008C16E6"/>
    <w:rsid w:val="008E1D9A"/>
    <w:rsid w:val="009215DD"/>
    <w:rsid w:val="00926FA5"/>
    <w:rsid w:val="009330C7"/>
    <w:rsid w:val="0093574B"/>
    <w:rsid w:val="009357FE"/>
    <w:rsid w:val="009371C0"/>
    <w:rsid w:val="00944F64"/>
    <w:rsid w:val="009524B3"/>
    <w:rsid w:val="00956210"/>
    <w:rsid w:val="00965170"/>
    <w:rsid w:val="009B3B13"/>
    <w:rsid w:val="009C43D1"/>
    <w:rsid w:val="009C4C9E"/>
    <w:rsid w:val="009D4A9D"/>
    <w:rsid w:val="009D7DE5"/>
    <w:rsid w:val="009E6409"/>
    <w:rsid w:val="00A00199"/>
    <w:rsid w:val="00A06257"/>
    <w:rsid w:val="00A15876"/>
    <w:rsid w:val="00A1670D"/>
    <w:rsid w:val="00A36FEB"/>
    <w:rsid w:val="00A41BA9"/>
    <w:rsid w:val="00A41DD4"/>
    <w:rsid w:val="00A47925"/>
    <w:rsid w:val="00A5051B"/>
    <w:rsid w:val="00A57BC5"/>
    <w:rsid w:val="00A60886"/>
    <w:rsid w:val="00A65B37"/>
    <w:rsid w:val="00A80638"/>
    <w:rsid w:val="00AA5B3E"/>
    <w:rsid w:val="00AA717C"/>
    <w:rsid w:val="00AB4A9B"/>
    <w:rsid w:val="00AE7834"/>
    <w:rsid w:val="00AF3B7E"/>
    <w:rsid w:val="00B03079"/>
    <w:rsid w:val="00B07441"/>
    <w:rsid w:val="00B1216F"/>
    <w:rsid w:val="00B402E2"/>
    <w:rsid w:val="00B63AF0"/>
    <w:rsid w:val="00B80426"/>
    <w:rsid w:val="00B807CA"/>
    <w:rsid w:val="00B96AD9"/>
    <w:rsid w:val="00BB042E"/>
    <w:rsid w:val="00BE0152"/>
    <w:rsid w:val="00BE4023"/>
    <w:rsid w:val="00BE62E8"/>
    <w:rsid w:val="00C016C5"/>
    <w:rsid w:val="00C2024F"/>
    <w:rsid w:val="00C21B4B"/>
    <w:rsid w:val="00C22128"/>
    <w:rsid w:val="00C41818"/>
    <w:rsid w:val="00CB0B53"/>
    <w:rsid w:val="00CB4AAD"/>
    <w:rsid w:val="00CE193B"/>
    <w:rsid w:val="00CE4ECB"/>
    <w:rsid w:val="00D151F3"/>
    <w:rsid w:val="00D25974"/>
    <w:rsid w:val="00D34F42"/>
    <w:rsid w:val="00D50069"/>
    <w:rsid w:val="00D700A3"/>
    <w:rsid w:val="00D80104"/>
    <w:rsid w:val="00D835A2"/>
    <w:rsid w:val="00D923B5"/>
    <w:rsid w:val="00D95CC3"/>
    <w:rsid w:val="00D96778"/>
    <w:rsid w:val="00DD159C"/>
    <w:rsid w:val="00DE6E60"/>
    <w:rsid w:val="00DF39FE"/>
    <w:rsid w:val="00DF3E4C"/>
    <w:rsid w:val="00E5572A"/>
    <w:rsid w:val="00E7436B"/>
    <w:rsid w:val="00E76CCE"/>
    <w:rsid w:val="00E80643"/>
    <w:rsid w:val="00EA03FD"/>
    <w:rsid w:val="00EB3A21"/>
    <w:rsid w:val="00EB54DE"/>
    <w:rsid w:val="00EC23C2"/>
    <w:rsid w:val="00F05C2E"/>
    <w:rsid w:val="00F10866"/>
    <w:rsid w:val="00F347CD"/>
    <w:rsid w:val="00F844E9"/>
    <w:rsid w:val="00FB0C47"/>
    <w:rsid w:val="00FB1CEF"/>
    <w:rsid w:val="00FB3BE3"/>
    <w:rsid w:val="00FB440A"/>
    <w:rsid w:val="00FB4FD7"/>
    <w:rsid w:val="00FE60E7"/>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37FD69"/>
  <w15:docId w15:val="{D3571C3C-E41A-40BA-9457-9C81E23A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7CD"/>
    <w:pPr>
      <w:spacing w:after="200" w:line="276" w:lineRule="auto"/>
    </w:pPr>
    <w:rPr>
      <w:sz w:val="22"/>
      <w:szCs w:val="22"/>
    </w:rPr>
  </w:style>
  <w:style w:type="paragraph" w:styleId="Heading1">
    <w:name w:val="heading 1"/>
    <w:basedOn w:val="Normal"/>
    <w:next w:val="Normal"/>
    <w:link w:val="Heading1Char"/>
    <w:uiPriority w:val="9"/>
    <w:qFormat/>
    <w:rsid w:val="00F347C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F347CD"/>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F347CD"/>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F347CD"/>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line="240" w:lineRule="auto"/>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link w:val="Heading1"/>
    <w:uiPriority w:val="9"/>
    <w:rsid w:val="00F347CD"/>
    <w:rPr>
      <w:rFonts w:ascii="Cambria" w:eastAsia="Times New Roman" w:hAnsi="Cambria" w:cs="Times New Roman"/>
      <w:b/>
      <w:bCs/>
      <w:sz w:val="28"/>
      <w:szCs w:val="28"/>
    </w:rPr>
  </w:style>
  <w:style w:type="character" w:customStyle="1" w:styleId="Heading2Char">
    <w:name w:val="Heading 2 Char"/>
    <w:link w:val="Heading2"/>
    <w:uiPriority w:val="9"/>
    <w:semiHidden/>
    <w:rsid w:val="00F347CD"/>
    <w:rPr>
      <w:rFonts w:ascii="Cambria" w:eastAsia="Times New Roman" w:hAnsi="Cambria" w:cs="Times New Roman"/>
      <w:b/>
      <w:bCs/>
      <w:sz w:val="26"/>
      <w:szCs w:val="26"/>
    </w:rPr>
  </w:style>
  <w:style w:type="character" w:customStyle="1" w:styleId="Heading3Char">
    <w:name w:val="Heading 3 Char"/>
    <w:link w:val="Heading3"/>
    <w:uiPriority w:val="9"/>
    <w:semiHidden/>
    <w:rsid w:val="00F347CD"/>
    <w:rPr>
      <w:rFonts w:ascii="Cambria" w:eastAsia="Times New Roman" w:hAnsi="Cambria" w:cs="Times New Roman"/>
      <w:b/>
      <w:bCs/>
    </w:rPr>
  </w:style>
  <w:style w:type="character" w:customStyle="1" w:styleId="Heading4Char">
    <w:name w:val="Heading 4 Char"/>
    <w:link w:val="Heading4"/>
    <w:uiPriority w:val="9"/>
    <w:semiHidden/>
    <w:rsid w:val="00F347CD"/>
    <w:rPr>
      <w:rFonts w:ascii="Cambria" w:eastAsia="Times New Roman" w:hAnsi="Cambria" w:cs="Times New Roman"/>
      <w:b/>
      <w:bCs/>
      <w:i/>
      <w:iCs/>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347C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F347CD"/>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qFormat/>
    <w:rsid w:val="00F347CD"/>
    <w:rPr>
      <w:b/>
      <w:bCs/>
    </w:rPr>
  </w:style>
  <w:style w:type="character" w:styleId="Emphasis">
    <w:name w:val="Emphasis"/>
    <w:uiPriority w:val="20"/>
    <w:qFormat/>
    <w:rsid w:val="00F347CD"/>
    <w:rPr>
      <w:b/>
      <w:bCs/>
      <w:i/>
      <w:iCs/>
      <w:spacing w:val="10"/>
      <w:bdr w:val="none" w:sz="0" w:space="0" w:color="auto"/>
      <w:shd w:val="clear" w:color="auto" w:fill="auto"/>
    </w:rPr>
  </w:style>
  <w:style w:type="paragraph" w:styleId="NoSpacing">
    <w:name w:val="No Spacing"/>
    <w:basedOn w:val="Normal"/>
    <w:uiPriority w:val="1"/>
    <w:qFormat/>
    <w:rsid w:val="00F347CD"/>
    <w:pPr>
      <w:spacing w:after="0" w:line="240" w:lineRule="auto"/>
    </w:pPr>
  </w:style>
  <w:style w:type="paragraph" w:styleId="ListParagraph">
    <w:name w:val="List Paragraph"/>
    <w:basedOn w:val="Normal"/>
    <w:uiPriority w:val="34"/>
    <w:qFormat/>
    <w:rsid w:val="00F347CD"/>
    <w:pPr>
      <w:ind w:left="720"/>
      <w:contextualSpacing/>
    </w:pPr>
  </w:style>
  <w:style w:type="paragraph" w:styleId="Quote">
    <w:name w:val="Quote"/>
    <w:basedOn w:val="Normal"/>
    <w:next w:val="Normal"/>
    <w:link w:val="QuoteChar"/>
    <w:uiPriority w:val="29"/>
    <w:qFormat/>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qFormat/>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qFormat/>
    <w:rsid w:val="00F347CD"/>
    <w:rPr>
      <w:i/>
      <w:iCs/>
    </w:rPr>
  </w:style>
  <w:style w:type="character" w:styleId="IntenseEmphasis">
    <w:name w:val="Intense Emphasis"/>
    <w:uiPriority w:val="21"/>
    <w:qFormat/>
    <w:rsid w:val="00F347CD"/>
    <w:rPr>
      <w:b/>
      <w:bCs/>
    </w:rPr>
  </w:style>
  <w:style w:type="character" w:styleId="SubtleReference">
    <w:name w:val="Subtle Reference"/>
    <w:uiPriority w:val="31"/>
    <w:qFormat/>
    <w:rsid w:val="00F347CD"/>
    <w:rPr>
      <w:smallCaps/>
    </w:rPr>
  </w:style>
  <w:style w:type="character" w:styleId="IntenseReference">
    <w:name w:val="Intense Reference"/>
    <w:uiPriority w:val="32"/>
    <w:qFormat/>
    <w:rsid w:val="00F347CD"/>
    <w:rPr>
      <w:smallCaps/>
      <w:spacing w:val="5"/>
      <w:u w:val="single"/>
    </w:rPr>
  </w:style>
  <w:style w:type="character" w:styleId="BookTitle">
    <w:name w:val="Book Title"/>
    <w:uiPriority w:val="33"/>
    <w:qFormat/>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lawson\Local%20Settings\Temporary%20Internet%20Files\Content.Outlook\IG5FXCTC\TemplateForB@PProces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00CB63BA6054D9FA76B150F8BECC6" ma:contentTypeVersion="0" ma:contentTypeDescription="Create a new document." ma:contentTypeScope="" ma:versionID="efa93e84a043e909ab9de3b6528cd1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76308-DF2D-4756-8F9C-48EF4226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3.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4.xml><?xml version="1.0" encoding="utf-8"?>
<ds:datastoreItem xmlns:ds="http://schemas.openxmlformats.org/officeDocument/2006/customXml" ds:itemID="{9859EA30-835A-4B51-AAA9-0C45AAA399BA}">
  <ds:schemaRef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6D3D6CC-3816-4DF1-B8A2-468BF73B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TemplateForB@PProcesses</Template>
  <TotalTime>5</TotalTime>
  <Pages>4</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ProcessTemplate</vt:lpstr>
    </vt:vector>
  </TitlesOfParts>
  <Company>Purdue University</Company>
  <LinksUpToDate>false</LinksUpToDate>
  <CharactersWithSpaces>3527</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ProcessTemplate</dc:title>
  <dc:creator>vjbrant</dc:creator>
  <cp:lastModifiedBy>Corwin, Susan M</cp:lastModifiedBy>
  <cp:revision>5</cp:revision>
  <cp:lastPrinted>2017-09-18T12:30:00Z</cp:lastPrinted>
  <dcterms:created xsi:type="dcterms:W3CDTF">2018-10-29T15:04:00Z</dcterms:created>
  <dcterms:modified xsi:type="dcterms:W3CDTF">2019-05-14T01:02:00Z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0x01010018200CB63BA6054D9FA76B150F8BECC6</vt:lpwstr>
  </property>
</Properties>
</file>