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DC" w:rsidRDefault="00C61EBB" w:rsidP="00AD4A08">
      <w:pPr>
        <w:spacing w:after="158" w:line="240" w:lineRule="auto"/>
        <w:ind w:left="0" w:right="2" w:firstLine="0"/>
        <w:contextualSpacing/>
        <w:jc w:val="center"/>
      </w:pPr>
      <w:r>
        <w:rPr>
          <w:b/>
        </w:rPr>
        <w:t xml:space="preserve">Questionable Transaction Report (QTR) – SPS </w:t>
      </w:r>
    </w:p>
    <w:p w:rsidR="00AD4A08" w:rsidRDefault="00C61EBB" w:rsidP="00AD4A08">
      <w:pPr>
        <w:spacing w:after="160" w:line="240" w:lineRule="auto"/>
        <w:ind w:left="0" w:firstLine="0"/>
        <w:contextualSpacing/>
      </w:pPr>
      <w:r>
        <w:t xml:space="preserve"> </w:t>
      </w:r>
    </w:p>
    <w:p w:rsidR="007005DC" w:rsidRDefault="00C61EBB" w:rsidP="00AD4A08">
      <w:pPr>
        <w:spacing w:after="160" w:line="240" w:lineRule="auto"/>
        <w:ind w:left="0" w:firstLine="0"/>
        <w:contextualSpacing/>
        <w:rPr>
          <w:b/>
        </w:rPr>
      </w:pPr>
      <w:r>
        <w:rPr>
          <w:b/>
        </w:rPr>
        <w:t xml:space="preserve">What is it? </w:t>
      </w:r>
    </w:p>
    <w:p w:rsidR="007005DC" w:rsidRDefault="00C61EBB" w:rsidP="00AD4A08">
      <w:pPr>
        <w:spacing w:after="167" w:line="240" w:lineRule="auto"/>
        <w:ind w:left="-5"/>
        <w:contextualSpacing/>
      </w:pPr>
      <w:r>
        <w:t>It is a report of questionable transactions that have posted to sponsored program accounts</w:t>
      </w:r>
      <w:r>
        <w:t xml:space="preserve">. </w:t>
      </w:r>
      <w:r>
        <w:t xml:space="preserve">The report </w:t>
      </w:r>
      <w:proofErr w:type="gramStart"/>
      <w:r>
        <w:t>should be generated</w:t>
      </w:r>
      <w:proofErr w:type="gramEnd"/>
      <w:r>
        <w:t xml:space="preserve"> at closing</w:t>
      </w:r>
      <w:r>
        <w:t xml:space="preserve">. </w:t>
      </w:r>
      <w:bookmarkStart w:id="0" w:name="_GoBack"/>
      <w:bookmarkEnd w:id="0"/>
    </w:p>
    <w:p w:rsidR="00AD4A08" w:rsidRDefault="00AD4A08" w:rsidP="00AD4A08">
      <w:pPr>
        <w:spacing w:after="216" w:line="240" w:lineRule="auto"/>
        <w:ind w:left="-5"/>
        <w:contextualSpacing/>
      </w:pPr>
    </w:p>
    <w:p w:rsidR="007005DC" w:rsidRDefault="00C61EBB" w:rsidP="00AD4A08">
      <w:pPr>
        <w:spacing w:after="216" w:line="240" w:lineRule="auto"/>
        <w:ind w:left="-5"/>
        <w:contextualSpacing/>
      </w:pPr>
      <w:r>
        <w:t xml:space="preserve">The commitment items that </w:t>
      </w:r>
      <w:proofErr w:type="gramStart"/>
      <w:r>
        <w:t>have been identified</w:t>
      </w:r>
      <w:proofErr w:type="gramEnd"/>
      <w:r>
        <w:t xml:space="preserve"> as questionable were determined to be questionable by reviewing the following: </w:t>
      </w:r>
    </w:p>
    <w:p w:rsidR="007005DC" w:rsidRDefault="00C61EBB" w:rsidP="00AD4A08">
      <w:pPr>
        <w:numPr>
          <w:ilvl w:val="0"/>
          <w:numId w:val="1"/>
        </w:numPr>
        <w:spacing w:after="56" w:line="240" w:lineRule="auto"/>
        <w:ind w:hanging="360"/>
        <w:contextualSpacing/>
      </w:pPr>
      <w:r>
        <w:t xml:space="preserve">2 CFR 200 (Uniform Administrative Requirements, Cost Principles, and Audit Requirements for Federal Awards) </w:t>
      </w:r>
      <w:hyperlink r:id="rId7">
        <w:r>
          <w:rPr>
            <w:color w:val="0563C1"/>
            <w:u w:val="single" w:color="0563C1"/>
          </w:rPr>
          <w:t>https://www.gpo.gov/fdsys/granule/CFR</w:t>
        </w:r>
      </w:hyperlink>
      <w:hyperlink r:id="rId8">
        <w:r>
          <w:rPr>
            <w:color w:val="0563C1"/>
            <w:u w:val="single" w:color="0563C1"/>
          </w:rPr>
          <w:t>-</w:t>
        </w:r>
      </w:hyperlink>
      <w:hyperlink r:id="rId9">
        <w:r>
          <w:rPr>
            <w:color w:val="0563C1"/>
            <w:u w:val="single" w:color="0563C1"/>
          </w:rPr>
          <w:t>2014</w:t>
        </w:r>
      </w:hyperlink>
      <w:hyperlink r:id="rId10">
        <w:r>
          <w:rPr>
            <w:color w:val="0563C1"/>
            <w:u w:val="single" w:color="0563C1"/>
          </w:rPr>
          <w:t>-</w:t>
        </w:r>
      </w:hyperlink>
      <w:hyperlink r:id="rId11">
        <w:r>
          <w:rPr>
            <w:color w:val="0563C1"/>
            <w:u w:val="single" w:color="0563C1"/>
          </w:rPr>
          <w:t>title2</w:t>
        </w:r>
      </w:hyperlink>
      <w:hyperlink r:id="rId12">
        <w:r>
          <w:rPr>
            <w:color w:val="0563C1"/>
            <w:u w:val="single" w:color="0563C1"/>
          </w:rPr>
          <w:t>-</w:t>
        </w:r>
      </w:hyperlink>
      <w:hyperlink r:id="rId13">
        <w:r>
          <w:rPr>
            <w:color w:val="0563C1"/>
            <w:u w:val="single" w:color="0563C1"/>
          </w:rPr>
          <w:t>vol1/CFR</w:t>
        </w:r>
      </w:hyperlink>
      <w:hyperlink r:id="rId14">
        <w:r>
          <w:rPr>
            <w:color w:val="0563C1"/>
            <w:u w:val="single" w:color="0563C1"/>
          </w:rPr>
          <w:t>-</w:t>
        </w:r>
      </w:hyperlink>
      <w:hyperlink r:id="rId15">
        <w:r>
          <w:rPr>
            <w:color w:val="0563C1"/>
            <w:u w:val="single" w:color="0563C1"/>
          </w:rPr>
          <w:t>2014</w:t>
        </w:r>
      </w:hyperlink>
      <w:hyperlink r:id="rId16">
        <w:r>
          <w:rPr>
            <w:color w:val="0563C1"/>
            <w:u w:val="single" w:color="0563C1"/>
          </w:rPr>
          <w:t>-</w:t>
        </w:r>
      </w:hyperlink>
      <w:hyperlink r:id="rId17">
        <w:r>
          <w:rPr>
            <w:color w:val="0563C1"/>
            <w:u w:val="single" w:color="0563C1"/>
          </w:rPr>
          <w:t>title2</w:t>
        </w:r>
      </w:hyperlink>
      <w:hyperlink r:id="rId18">
        <w:r>
          <w:rPr>
            <w:color w:val="0563C1"/>
            <w:u w:val="single" w:color="0563C1"/>
          </w:rPr>
          <w:t>-</w:t>
        </w:r>
      </w:hyperlink>
      <w:hyperlink r:id="rId19">
        <w:r>
          <w:rPr>
            <w:color w:val="0563C1"/>
            <w:u w:val="single" w:color="0563C1"/>
          </w:rPr>
          <w:t>vol1</w:t>
        </w:r>
      </w:hyperlink>
      <w:hyperlink r:id="rId20"/>
      <w:hyperlink r:id="rId21">
        <w:r>
          <w:rPr>
            <w:color w:val="0563C1"/>
            <w:u w:val="single" w:color="0563C1"/>
          </w:rPr>
          <w:t>part200/content</w:t>
        </w:r>
      </w:hyperlink>
      <w:hyperlink r:id="rId22">
        <w:r>
          <w:rPr>
            <w:color w:val="0563C1"/>
            <w:u w:val="single" w:color="0563C1"/>
          </w:rPr>
          <w:t>-</w:t>
        </w:r>
      </w:hyperlink>
      <w:hyperlink r:id="rId23">
        <w:r>
          <w:rPr>
            <w:color w:val="0563C1"/>
            <w:u w:val="single" w:color="0563C1"/>
          </w:rPr>
          <w:t>detail.html</w:t>
        </w:r>
      </w:hyperlink>
      <w:hyperlink r:id="rId24">
        <w:r>
          <w:t xml:space="preserve"> </w:t>
        </w:r>
      </w:hyperlink>
    </w:p>
    <w:p w:rsidR="007005DC" w:rsidRDefault="00C61EBB" w:rsidP="00AD4A08">
      <w:pPr>
        <w:numPr>
          <w:ilvl w:val="0"/>
          <w:numId w:val="1"/>
        </w:numPr>
        <w:spacing w:after="1" w:line="240" w:lineRule="auto"/>
        <w:ind w:hanging="360"/>
        <w:contextualSpacing/>
      </w:pPr>
      <w:r>
        <w:t>Purd</w:t>
      </w:r>
      <w:r>
        <w:t xml:space="preserve">ue’s Cost Accounting Standards (CAS) Classification of Cost Items  </w:t>
      </w:r>
      <w:hyperlink r:id="rId25">
        <w:r>
          <w:rPr>
            <w:color w:val="0563C1"/>
            <w:u w:val="single" w:color="0563C1"/>
          </w:rPr>
          <w:t>http://www.purdue.edu/business/mas/pdf/Classification%20of%20Cost%20Items.pdf</w:t>
        </w:r>
      </w:hyperlink>
      <w:hyperlink r:id="rId26">
        <w:r>
          <w:t xml:space="preserve"> </w:t>
        </w:r>
      </w:hyperlink>
    </w:p>
    <w:p w:rsidR="007005DC" w:rsidRDefault="00C61EBB" w:rsidP="00AD4A08">
      <w:pPr>
        <w:spacing w:after="160" w:line="240" w:lineRule="auto"/>
        <w:ind w:left="720" w:firstLine="0"/>
        <w:contextualSpacing/>
      </w:pPr>
      <w:r>
        <w:t xml:space="preserve"> </w:t>
      </w:r>
    </w:p>
    <w:p w:rsidR="007005DC" w:rsidRDefault="00C61EBB" w:rsidP="00AD4A08">
      <w:pPr>
        <w:spacing w:after="213" w:line="240" w:lineRule="auto"/>
        <w:ind w:left="-5"/>
        <w:contextualSpacing/>
      </w:pPr>
      <w:r>
        <w:t xml:space="preserve">The questionable commitment items </w:t>
      </w:r>
      <w:proofErr w:type="gramStart"/>
      <w:r>
        <w:t>are coded</w:t>
      </w:r>
      <w:proofErr w:type="gramEnd"/>
      <w:r>
        <w:t xml:space="preserve"> into three categories: </w:t>
      </w:r>
    </w:p>
    <w:p w:rsidR="007005DC" w:rsidRDefault="00C61EBB" w:rsidP="00AD4A08">
      <w:pPr>
        <w:numPr>
          <w:ilvl w:val="0"/>
          <w:numId w:val="1"/>
        </w:numPr>
        <w:spacing w:line="240" w:lineRule="auto"/>
        <w:ind w:hanging="360"/>
        <w:contextualSpacing/>
      </w:pPr>
      <w:r>
        <w:t xml:space="preserve">Costs that may be allowable with stipulations or under certain conditions </w:t>
      </w:r>
    </w:p>
    <w:p w:rsidR="007005DC" w:rsidRDefault="00C61EBB" w:rsidP="00AD4A08">
      <w:pPr>
        <w:numPr>
          <w:ilvl w:val="0"/>
          <w:numId w:val="1"/>
        </w:numPr>
        <w:spacing w:line="240" w:lineRule="auto"/>
        <w:ind w:hanging="360"/>
        <w:contextualSpacing/>
      </w:pPr>
      <w:r>
        <w:t xml:space="preserve">Costs that require Sponsor prior written approval or were approved in the budget </w:t>
      </w:r>
    </w:p>
    <w:p w:rsidR="00AD4A08" w:rsidRDefault="00C61EBB" w:rsidP="00AD4A08">
      <w:pPr>
        <w:numPr>
          <w:ilvl w:val="0"/>
          <w:numId w:val="1"/>
        </w:numPr>
        <w:spacing w:after="144" w:line="240" w:lineRule="auto"/>
        <w:ind w:hanging="360"/>
        <w:contextualSpacing/>
      </w:pPr>
      <w:r>
        <w:t>Costs that are unallowable on sponsored funds</w:t>
      </w:r>
    </w:p>
    <w:p w:rsidR="007005DC" w:rsidRDefault="00C61EBB" w:rsidP="00AD4A08">
      <w:pPr>
        <w:spacing w:after="144" w:line="240" w:lineRule="auto"/>
        <w:ind w:left="720" w:firstLine="0"/>
        <w:contextualSpacing/>
      </w:pPr>
      <w:r>
        <w:t xml:space="preserve"> </w:t>
      </w:r>
    </w:p>
    <w:p w:rsidR="007005DC" w:rsidRDefault="00C61EBB" w:rsidP="00AD4A08">
      <w:pPr>
        <w:spacing w:after="352" w:line="240" w:lineRule="auto"/>
        <w:ind w:left="-5"/>
        <w:contextualSpacing/>
      </w:pPr>
      <w:r>
        <w:t xml:space="preserve">There are situations where the guidance in the sponsor award document places further restrictions on the </w:t>
      </w:r>
      <w:proofErr w:type="spellStart"/>
      <w:r>
        <w:t>allowability</w:t>
      </w:r>
      <w:proofErr w:type="spellEnd"/>
      <w:r>
        <w:t xml:space="preserve"> of costs.</w:t>
      </w:r>
      <w:r>
        <w:t xml:space="preserve">  In those situations, the sponsor guidelines are more restrictive than </w:t>
      </w:r>
      <w:proofErr w:type="gramStart"/>
      <w:r>
        <w:t>2</w:t>
      </w:r>
      <w:proofErr w:type="gramEnd"/>
      <w:r>
        <w:t xml:space="preserve"> CFR 200 or CAS guidelines, and must be followed. </w:t>
      </w:r>
    </w:p>
    <w:p w:rsidR="00AD4A08" w:rsidRDefault="00AD4A08" w:rsidP="00AD4A08">
      <w:pPr>
        <w:spacing w:after="352" w:line="240" w:lineRule="auto"/>
        <w:ind w:left="-5"/>
        <w:contextualSpacing/>
      </w:pPr>
    </w:p>
    <w:p w:rsidR="007005DC" w:rsidRDefault="00C61EBB" w:rsidP="00AD4A08">
      <w:pPr>
        <w:spacing w:after="160" w:line="240" w:lineRule="auto"/>
        <w:ind w:left="-5"/>
        <w:contextualSpacing/>
        <w:rPr>
          <w:b/>
        </w:rPr>
      </w:pPr>
      <w:r>
        <w:rPr>
          <w:b/>
        </w:rPr>
        <w:t xml:space="preserve">How to run the report </w:t>
      </w:r>
    </w:p>
    <w:p w:rsidR="00AD4A08" w:rsidRDefault="00C61EBB" w:rsidP="00AD4A08">
      <w:pPr>
        <w:spacing w:after="1" w:line="240" w:lineRule="auto"/>
        <w:ind w:left="-15" w:firstLine="0"/>
        <w:contextualSpacing/>
        <w:rPr>
          <w:color w:val="0563C1"/>
          <w:u w:val="single" w:color="0563C1"/>
        </w:rPr>
      </w:pPr>
      <w:r>
        <w:t xml:space="preserve">Refer to </w:t>
      </w:r>
      <w:r>
        <w:rPr>
          <w:i/>
        </w:rPr>
        <w:t xml:space="preserve">Running the QTR </w:t>
      </w:r>
      <w:r>
        <w:t xml:space="preserve">  </w:t>
      </w:r>
      <w:hyperlink r:id="rId27">
        <w:r>
          <w:rPr>
            <w:color w:val="0563C1"/>
            <w:u w:val="single" w:color="0563C1"/>
          </w:rPr>
          <w:t>https://www.purdu</w:t>
        </w:r>
        <w:r>
          <w:rPr>
            <w:color w:val="0563C1"/>
            <w:u w:val="single" w:color="0563C1"/>
          </w:rPr>
          <w:t>e</w:t>
        </w:r>
        <w:r>
          <w:rPr>
            <w:color w:val="0563C1"/>
            <w:u w:val="single" w:color="0563C1"/>
          </w:rPr>
          <w:t>.edu/business/sps/pdf/Questionable_Transactions.pdf</w:t>
        </w:r>
      </w:hyperlink>
    </w:p>
    <w:p w:rsidR="00AD4A08" w:rsidRDefault="00C61EBB" w:rsidP="00AD4A08">
      <w:pPr>
        <w:spacing w:after="1" w:line="240" w:lineRule="auto"/>
        <w:ind w:left="-15" w:firstLine="0"/>
        <w:contextualSpacing/>
      </w:pPr>
      <w:hyperlink r:id="rId28">
        <w:r>
          <w:t xml:space="preserve"> </w:t>
        </w:r>
      </w:hyperlink>
    </w:p>
    <w:p w:rsidR="007005DC" w:rsidRDefault="00C61EBB" w:rsidP="00AD4A08">
      <w:pPr>
        <w:spacing w:after="1" w:line="240" w:lineRule="auto"/>
        <w:ind w:left="-15" w:firstLine="0"/>
        <w:contextualSpacing/>
        <w:rPr>
          <w:b/>
        </w:rPr>
      </w:pPr>
      <w:r>
        <w:rPr>
          <w:b/>
        </w:rPr>
        <w:t>Expectatio</w:t>
      </w:r>
      <w:r>
        <w:rPr>
          <w:b/>
        </w:rPr>
        <w:t xml:space="preserve">ns for the report </w:t>
      </w:r>
    </w:p>
    <w:p w:rsidR="007005DC" w:rsidRDefault="00C61EBB" w:rsidP="00AD4A08">
      <w:pPr>
        <w:spacing w:after="351" w:line="240" w:lineRule="auto"/>
        <w:ind w:left="-5"/>
        <w:contextualSpacing/>
      </w:pPr>
      <w:r>
        <w:t xml:space="preserve">It is the expectation that SPS will run the QTR report at closeout time of the grant. The report </w:t>
      </w:r>
      <w:proofErr w:type="gramStart"/>
      <w:r>
        <w:t>is intended to be used</w:t>
      </w:r>
      <w:proofErr w:type="gramEnd"/>
      <w:r>
        <w:t xml:space="preserve"> to address any questionable transactions and correct if applicable before final reporting and closeout of the award. </w:t>
      </w:r>
    </w:p>
    <w:p w:rsidR="00AD4A08" w:rsidRDefault="00AD4A08" w:rsidP="00AD4A08">
      <w:pPr>
        <w:spacing w:after="351" w:line="240" w:lineRule="auto"/>
        <w:ind w:left="-5"/>
        <w:contextualSpacing/>
      </w:pPr>
    </w:p>
    <w:p w:rsidR="007005DC" w:rsidRDefault="00C61EBB" w:rsidP="00AD4A08">
      <w:pPr>
        <w:spacing w:after="207" w:line="240" w:lineRule="auto"/>
        <w:ind w:left="-5"/>
        <w:contextualSpacing/>
        <w:rPr>
          <w:b/>
        </w:rPr>
      </w:pPr>
      <w:r>
        <w:rPr>
          <w:b/>
        </w:rPr>
        <w:t xml:space="preserve">Practical Uses </w:t>
      </w:r>
    </w:p>
    <w:p w:rsidR="007005DC" w:rsidRDefault="00C61EBB" w:rsidP="00AD4A08">
      <w:pPr>
        <w:numPr>
          <w:ilvl w:val="0"/>
          <w:numId w:val="1"/>
        </w:numPr>
        <w:spacing w:after="132" w:line="240" w:lineRule="auto"/>
        <w:ind w:hanging="360"/>
        <w:contextualSpacing/>
      </w:pPr>
      <w:r>
        <w:rPr>
          <w:b/>
        </w:rPr>
        <w:t xml:space="preserve">Proper assignment of Commitment Items </w:t>
      </w:r>
    </w:p>
    <w:p w:rsidR="007005DC" w:rsidRDefault="00C61EBB" w:rsidP="00AD4A08">
      <w:pPr>
        <w:spacing w:line="240" w:lineRule="auto"/>
        <w:ind w:left="-5"/>
        <w:contextualSpacing/>
      </w:pPr>
      <w:r>
        <w:t>Example:  546325 “Decorations” shows up on the questionable transaction listing.  Decorations are not allowable on sponsored funds.  A review of this charge by the department found that the items were</w:t>
      </w:r>
      <w:r>
        <w:t xml:space="preserve"> actually for Professor Wise in the Visual and Performing Arts department and were included in the budget as props for a performance.  A more appropriate commitment item, such as 523080 Theatrical Supplies, </w:t>
      </w:r>
      <w:proofErr w:type="gramStart"/>
      <w:r>
        <w:t>should have been used</w:t>
      </w:r>
      <w:proofErr w:type="gramEnd"/>
      <w:r>
        <w:t xml:space="preserve">. </w:t>
      </w:r>
    </w:p>
    <w:p w:rsidR="007005DC" w:rsidRDefault="00C61EBB" w:rsidP="00AD4A08">
      <w:pPr>
        <w:numPr>
          <w:ilvl w:val="0"/>
          <w:numId w:val="1"/>
        </w:numPr>
        <w:spacing w:after="132" w:line="240" w:lineRule="auto"/>
        <w:ind w:hanging="360"/>
        <w:contextualSpacing/>
      </w:pPr>
      <w:r>
        <w:rPr>
          <w:b/>
        </w:rPr>
        <w:t>Familiarization with spon</w:t>
      </w:r>
      <w:r>
        <w:rPr>
          <w:b/>
        </w:rPr>
        <w:t xml:space="preserve">sored program accounts within the department </w:t>
      </w:r>
    </w:p>
    <w:p w:rsidR="007005DC" w:rsidRDefault="00C61EBB" w:rsidP="00AD4A08">
      <w:pPr>
        <w:spacing w:after="397" w:line="240" w:lineRule="auto"/>
        <w:ind w:left="-5"/>
        <w:contextualSpacing/>
      </w:pPr>
      <w:r>
        <w:t>Example: 532015 “SPACE RENTAL” shows up on the listing for Professor Gray’s U. S. Department of Air Force contract.  Professor Gray is the principal investigator and his laboratory is located off-campus because</w:t>
      </w:r>
      <w:r>
        <w:t xml:space="preserve"> there is no space on campus available for his research.  Space rental is budgeted and justified on all his sponsored program projects and the Facilities and Administration (F&amp;A) rate is at the </w:t>
      </w:r>
      <w:proofErr w:type="spellStart"/>
      <w:r>
        <w:t>offcampus</w:t>
      </w:r>
      <w:proofErr w:type="spellEnd"/>
      <w:r>
        <w:t xml:space="preserve"> rate.  Since space rental is a normal charge seen on</w:t>
      </w:r>
      <w:r>
        <w:t xml:space="preserve"> all Professor </w:t>
      </w:r>
      <w:proofErr w:type="gramStart"/>
      <w:r>
        <w:t>Gray’s</w:t>
      </w:r>
      <w:proofErr w:type="gramEnd"/>
      <w:r>
        <w:t xml:space="preserve"> sponsored program projects the department can quickly note this on the QTR report.  If space rental showed up on a project other than Professor </w:t>
      </w:r>
      <w:proofErr w:type="gramStart"/>
      <w:r>
        <w:t>Gray’s</w:t>
      </w:r>
      <w:proofErr w:type="gramEnd"/>
      <w:r>
        <w:t xml:space="preserve"> the department should look into the charge further. </w:t>
      </w:r>
    </w:p>
    <w:p w:rsidR="007005DC" w:rsidRDefault="00C61EBB" w:rsidP="00AD4A08">
      <w:pPr>
        <w:numPr>
          <w:ilvl w:val="0"/>
          <w:numId w:val="1"/>
        </w:numPr>
        <w:spacing w:after="132" w:line="240" w:lineRule="auto"/>
        <w:ind w:hanging="360"/>
        <w:contextualSpacing/>
      </w:pPr>
      <w:r>
        <w:rPr>
          <w:b/>
        </w:rPr>
        <w:lastRenderedPageBreak/>
        <w:t>Early detection of potential p</w:t>
      </w:r>
      <w:r>
        <w:rPr>
          <w:b/>
        </w:rPr>
        <w:t xml:space="preserve">roblems </w:t>
      </w:r>
    </w:p>
    <w:p w:rsidR="007005DC" w:rsidRDefault="00C61EBB" w:rsidP="00AD4A08">
      <w:pPr>
        <w:spacing w:after="170" w:line="240" w:lineRule="auto"/>
        <w:ind w:left="-5"/>
        <w:contextualSpacing/>
      </w:pPr>
      <w:r>
        <w:t xml:space="preserve">Example 533615 “HOSPITALITY/FOOD SERVICE” shows up on the listing for Professor Hall’s National Science Foundation grant.  Professor Hall has a standard research </w:t>
      </w:r>
      <w:proofErr w:type="gramStart"/>
      <w:r>
        <w:t>grant and does not involve any other departments at the university</w:t>
      </w:r>
      <w:proofErr w:type="gramEnd"/>
      <w:r>
        <w:t xml:space="preserve"> and has no </w:t>
      </w:r>
      <w:proofErr w:type="spellStart"/>
      <w:r>
        <w:t>subgran</w:t>
      </w:r>
      <w:r>
        <w:t>ts</w:t>
      </w:r>
      <w:proofErr w:type="spellEnd"/>
      <w:r>
        <w:t xml:space="preserve">.  The budget does not identify food costs.  These charges are unallowable, unless written approval </w:t>
      </w:r>
      <w:proofErr w:type="gramStart"/>
      <w:r>
        <w:t>is obtained</w:t>
      </w:r>
      <w:proofErr w:type="gramEnd"/>
      <w:r>
        <w:t xml:space="preserve"> from the sponsor, and must be removed from the project.  Early detection allows timely removal of the unallowable costs from the project expen</w:t>
      </w:r>
      <w:r>
        <w:t xml:space="preserve">ses.  The early detection also reduces the potential financial liability to the department for unallowable costs </w:t>
      </w:r>
      <w:proofErr w:type="gramStart"/>
      <w:r>
        <w:t>after the project is expired and eliminates the need to return unspent funds to the sponsor in closing</w:t>
      </w:r>
      <w:proofErr w:type="gramEnd"/>
      <w:r>
        <w:t xml:space="preserve">. </w:t>
      </w:r>
    </w:p>
    <w:p w:rsidR="007005DC" w:rsidRDefault="00C61EBB" w:rsidP="00AD4A08">
      <w:pPr>
        <w:spacing w:after="158" w:line="240" w:lineRule="auto"/>
        <w:ind w:left="0" w:firstLine="0"/>
        <w:contextualSpacing/>
      </w:pPr>
      <w:r>
        <w:t xml:space="preserve"> </w:t>
      </w:r>
    </w:p>
    <w:p w:rsidR="007005DC" w:rsidRDefault="00C61EBB" w:rsidP="00AD4A08">
      <w:pPr>
        <w:spacing w:after="158" w:line="240" w:lineRule="auto"/>
        <w:ind w:left="0" w:firstLine="0"/>
        <w:contextualSpacing/>
      </w:pPr>
      <w:r>
        <w:t xml:space="preserve">  </w:t>
      </w:r>
    </w:p>
    <w:p w:rsidR="007005DC" w:rsidRDefault="00C61EBB" w:rsidP="00AD4A08">
      <w:pPr>
        <w:spacing w:after="160" w:line="240" w:lineRule="auto"/>
        <w:ind w:left="0" w:firstLine="0"/>
        <w:contextualSpacing/>
      </w:pPr>
      <w:r>
        <w:t xml:space="preserve"> </w:t>
      </w:r>
    </w:p>
    <w:p w:rsidR="007005DC" w:rsidRDefault="00C61EBB" w:rsidP="00AD4A08">
      <w:pPr>
        <w:spacing w:after="158" w:line="240" w:lineRule="auto"/>
        <w:ind w:left="0" w:firstLine="0"/>
        <w:contextualSpacing/>
      </w:pPr>
      <w:r>
        <w:t xml:space="preserve"> </w:t>
      </w:r>
    </w:p>
    <w:p w:rsidR="007005DC" w:rsidRDefault="00C61EBB" w:rsidP="00AD4A08">
      <w:pPr>
        <w:spacing w:after="0" w:line="240" w:lineRule="auto"/>
        <w:ind w:left="0" w:firstLine="0"/>
        <w:contextualSpacing/>
      </w:pPr>
      <w:r>
        <w:t xml:space="preserve"> </w:t>
      </w:r>
    </w:p>
    <w:sectPr w:rsidR="007005DC">
      <w:headerReference w:type="default" r:id="rId29"/>
      <w:pgSz w:w="12240" w:h="15840"/>
      <w:pgMar w:top="1481" w:right="1438" w:bottom="184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EBB" w:rsidRDefault="00C61EBB" w:rsidP="00C61EBB">
      <w:pPr>
        <w:spacing w:after="0" w:line="240" w:lineRule="auto"/>
      </w:pPr>
      <w:r>
        <w:separator/>
      </w:r>
    </w:p>
  </w:endnote>
  <w:endnote w:type="continuationSeparator" w:id="0">
    <w:p w:rsidR="00C61EBB" w:rsidRDefault="00C61EBB" w:rsidP="00C6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EBB" w:rsidRDefault="00C61EBB" w:rsidP="00C61EBB">
      <w:pPr>
        <w:spacing w:after="0" w:line="240" w:lineRule="auto"/>
      </w:pPr>
      <w:r>
        <w:separator/>
      </w:r>
    </w:p>
  </w:footnote>
  <w:footnote w:type="continuationSeparator" w:id="0">
    <w:p w:rsidR="00C61EBB" w:rsidRDefault="00C61EBB" w:rsidP="00C61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EBB" w:rsidRDefault="00C61EBB">
    <w:pPr>
      <w:pStyle w:val="Header"/>
    </w:pPr>
    <w:r>
      <w:tab/>
    </w:r>
    <w:r>
      <w:tab/>
    </w:r>
    <w:r>
      <w:tab/>
      <w:t>Updated May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75642"/>
    <w:multiLevelType w:val="hybridMultilevel"/>
    <w:tmpl w:val="E5BE3138"/>
    <w:lvl w:ilvl="0" w:tplc="C122AF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68CBA">
      <w:start w:val="1"/>
      <w:numFmt w:val="bullet"/>
      <w:lvlText w:val="o"/>
      <w:lvlJc w:val="left"/>
      <w:pPr>
        <w:ind w:left="1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67458">
      <w:start w:val="1"/>
      <w:numFmt w:val="bullet"/>
      <w:lvlText w:val="▪"/>
      <w:lvlJc w:val="left"/>
      <w:pPr>
        <w:ind w:left="2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49270">
      <w:start w:val="1"/>
      <w:numFmt w:val="bullet"/>
      <w:lvlText w:val="•"/>
      <w:lvlJc w:val="left"/>
      <w:pPr>
        <w:ind w:left="2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3CD0C8">
      <w:start w:val="1"/>
      <w:numFmt w:val="bullet"/>
      <w:lvlText w:val="o"/>
      <w:lvlJc w:val="left"/>
      <w:pPr>
        <w:ind w:left="3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FCDB94">
      <w:start w:val="1"/>
      <w:numFmt w:val="bullet"/>
      <w:lvlText w:val="▪"/>
      <w:lvlJc w:val="left"/>
      <w:pPr>
        <w:ind w:left="4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E7780">
      <w:start w:val="1"/>
      <w:numFmt w:val="bullet"/>
      <w:lvlText w:val="•"/>
      <w:lvlJc w:val="left"/>
      <w:pPr>
        <w:ind w:left="4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4EBA5C">
      <w:start w:val="1"/>
      <w:numFmt w:val="bullet"/>
      <w:lvlText w:val="o"/>
      <w:lvlJc w:val="left"/>
      <w:pPr>
        <w:ind w:left="5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6F20A">
      <w:start w:val="1"/>
      <w:numFmt w:val="bullet"/>
      <w:lvlText w:val="▪"/>
      <w:lvlJc w:val="left"/>
      <w:pPr>
        <w:ind w:left="6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DC"/>
    <w:rsid w:val="007005DC"/>
    <w:rsid w:val="00AD4A08"/>
    <w:rsid w:val="00C6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9692"/>
  <w15:docId w15:val="{FD7A6301-B67C-4036-9E31-FA117C0E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EB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6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EB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granule/CFR-2014-title2-vol1/CFR-2014-title2-vol1-part200/content-detail.html" TargetMode="External"/><Relationship Id="rId13" Type="http://schemas.openxmlformats.org/officeDocument/2006/relationships/hyperlink" Target="https://www.gpo.gov/fdsys/granule/CFR-2014-title2-vol1/CFR-2014-title2-vol1-part200/content-detail.html" TargetMode="External"/><Relationship Id="rId18" Type="http://schemas.openxmlformats.org/officeDocument/2006/relationships/hyperlink" Target="https://www.gpo.gov/fdsys/granule/CFR-2014-title2-vol1/CFR-2014-title2-vol1-part200/content-detail.html" TargetMode="External"/><Relationship Id="rId26" Type="http://schemas.openxmlformats.org/officeDocument/2006/relationships/hyperlink" Target="http://www.purdue.edu/business/mas/pdf/Classification%20of%20Cost%20Item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po.gov/fdsys/granule/CFR-2014-title2-vol1/CFR-2014-title2-vol1-part200/content-detail.html" TargetMode="External"/><Relationship Id="rId7" Type="http://schemas.openxmlformats.org/officeDocument/2006/relationships/hyperlink" Target="https://www.gpo.gov/fdsys/granule/CFR-2014-title2-vol1/CFR-2014-title2-vol1-part200/content-detail.html" TargetMode="External"/><Relationship Id="rId12" Type="http://schemas.openxmlformats.org/officeDocument/2006/relationships/hyperlink" Target="https://www.gpo.gov/fdsys/granule/CFR-2014-title2-vol1/CFR-2014-title2-vol1-part200/content-detail.html" TargetMode="External"/><Relationship Id="rId17" Type="http://schemas.openxmlformats.org/officeDocument/2006/relationships/hyperlink" Target="https://www.gpo.gov/fdsys/granule/CFR-2014-title2-vol1/CFR-2014-title2-vol1-part200/content-detail.html" TargetMode="External"/><Relationship Id="rId25" Type="http://schemas.openxmlformats.org/officeDocument/2006/relationships/hyperlink" Target="http://www.purdue.edu/business/mas/pdf/Classification%20of%20Cost%20Item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po.gov/fdsys/granule/CFR-2014-title2-vol1/CFR-2014-title2-vol1-part200/content-detail.html" TargetMode="External"/><Relationship Id="rId20" Type="http://schemas.openxmlformats.org/officeDocument/2006/relationships/hyperlink" Target="https://www.gpo.gov/fdsys/granule/CFR-2014-title2-vol1/CFR-2014-title2-vol1-part200/content-detail.html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po.gov/fdsys/granule/CFR-2014-title2-vol1/CFR-2014-title2-vol1-part200/content-detail.html" TargetMode="External"/><Relationship Id="rId24" Type="http://schemas.openxmlformats.org/officeDocument/2006/relationships/hyperlink" Target="https://www.gpo.gov/fdsys/granule/CFR-2014-title2-vol1/CFR-2014-title2-vol1-part200/content-detail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po.gov/fdsys/granule/CFR-2014-title2-vol1/CFR-2014-title2-vol1-part200/content-detail.html" TargetMode="External"/><Relationship Id="rId23" Type="http://schemas.openxmlformats.org/officeDocument/2006/relationships/hyperlink" Target="https://www.gpo.gov/fdsys/granule/CFR-2014-title2-vol1/CFR-2014-title2-vol1-part200/content-detail.html" TargetMode="External"/><Relationship Id="rId28" Type="http://schemas.openxmlformats.org/officeDocument/2006/relationships/hyperlink" Target="https://www.purdue.edu/business/sps/pdf/Questionable_Transactions.pdf" TargetMode="External"/><Relationship Id="rId10" Type="http://schemas.openxmlformats.org/officeDocument/2006/relationships/hyperlink" Target="https://www.gpo.gov/fdsys/granule/CFR-2014-title2-vol1/CFR-2014-title2-vol1-part200/content-detail.html" TargetMode="External"/><Relationship Id="rId19" Type="http://schemas.openxmlformats.org/officeDocument/2006/relationships/hyperlink" Target="https://www.gpo.gov/fdsys/granule/CFR-2014-title2-vol1/CFR-2014-title2-vol1-part200/content-detail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po.gov/fdsys/granule/CFR-2014-title2-vol1/CFR-2014-title2-vol1-part200/content-detail.html" TargetMode="External"/><Relationship Id="rId14" Type="http://schemas.openxmlformats.org/officeDocument/2006/relationships/hyperlink" Target="https://www.gpo.gov/fdsys/granule/CFR-2014-title2-vol1/CFR-2014-title2-vol1-part200/content-detail.html" TargetMode="External"/><Relationship Id="rId22" Type="http://schemas.openxmlformats.org/officeDocument/2006/relationships/hyperlink" Target="https://www.gpo.gov/fdsys/granule/CFR-2014-title2-vol1/CFR-2014-title2-vol1-part200/content-detail.html" TargetMode="External"/><Relationship Id="rId27" Type="http://schemas.openxmlformats.org/officeDocument/2006/relationships/hyperlink" Target="https://www.purdue.edu/business/sps/pdf/Questionable_Transactions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Rebecca  L.</dc:creator>
  <cp:keywords/>
  <cp:lastModifiedBy>Corwin, Susan M</cp:lastModifiedBy>
  <cp:revision>3</cp:revision>
  <dcterms:created xsi:type="dcterms:W3CDTF">2019-05-06T14:55:00Z</dcterms:created>
  <dcterms:modified xsi:type="dcterms:W3CDTF">2019-05-06T14:55:00Z</dcterms:modified>
</cp:coreProperties>
</file>