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191" w:rsidRPr="00992208" w:rsidRDefault="00A10A1E" w:rsidP="00992208">
      <w:pPr>
        <w:jc w:val="center"/>
        <w:rPr>
          <w:b/>
          <w:sz w:val="24"/>
          <w:szCs w:val="24"/>
        </w:rPr>
      </w:pPr>
      <w:r w:rsidRPr="00992208">
        <w:rPr>
          <w:b/>
          <w:sz w:val="24"/>
          <w:szCs w:val="24"/>
        </w:rPr>
        <w:t>Collection of Sponsored Funds: Receivable Monitoring</w:t>
      </w:r>
    </w:p>
    <w:tbl>
      <w:tblPr>
        <w:tblStyle w:val="TableGrid"/>
        <w:tblW w:w="14208" w:type="dxa"/>
        <w:tblLook w:val="04A0" w:firstRow="1" w:lastRow="0" w:firstColumn="1" w:lastColumn="0" w:noHBand="0" w:noVBand="1"/>
      </w:tblPr>
      <w:tblGrid>
        <w:gridCol w:w="1423"/>
        <w:gridCol w:w="2712"/>
        <w:gridCol w:w="2709"/>
        <w:gridCol w:w="4034"/>
        <w:gridCol w:w="3330"/>
      </w:tblGrid>
      <w:tr w:rsidR="00BA7EB7" w:rsidTr="00B436AE">
        <w:tc>
          <w:tcPr>
            <w:tcW w:w="1423" w:type="dxa"/>
          </w:tcPr>
          <w:p w:rsidR="00BA7EB7" w:rsidRPr="00992208" w:rsidRDefault="00BA7EB7" w:rsidP="00A10A1E">
            <w:pPr>
              <w:jc w:val="center"/>
              <w:rPr>
                <w:b/>
                <w:sz w:val="24"/>
                <w:szCs w:val="24"/>
              </w:rPr>
            </w:pPr>
            <w:r w:rsidRPr="00992208">
              <w:rPr>
                <w:b/>
                <w:sz w:val="24"/>
                <w:szCs w:val="24"/>
              </w:rPr>
              <w:t>Time Frame</w:t>
            </w:r>
          </w:p>
        </w:tc>
        <w:tc>
          <w:tcPr>
            <w:tcW w:w="2712" w:type="dxa"/>
          </w:tcPr>
          <w:p w:rsidR="00BA7EB7" w:rsidRPr="00992208" w:rsidRDefault="00BA7EB7" w:rsidP="00A10A1E">
            <w:pPr>
              <w:jc w:val="center"/>
              <w:rPr>
                <w:b/>
                <w:sz w:val="24"/>
                <w:szCs w:val="24"/>
              </w:rPr>
            </w:pPr>
            <w:r w:rsidRPr="00992208">
              <w:rPr>
                <w:b/>
                <w:sz w:val="24"/>
                <w:szCs w:val="24"/>
              </w:rPr>
              <w:t>Responsibility</w:t>
            </w:r>
          </w:p>
        </w:tc>
        <w:tc>
          <w:tcPr>
            <w:tcW w:w="2709" w:type="dxa"/>
          </w:tcPr>
          <w:p w:rsidR="00BA7EB7" w:rsidRPr="00992208" w:rsidRDefault="004A2F3E" w:rsidP="004A2F3E">
            <w:pPr>
              <w:jc w:val="center"/>
              <w:rPr>
                <w:b/>
                <w:sz w:val="24"/>
                <w:szCs w:val="24"/>
              </w:rPr>
            </w:pPr>
            <w:r>
              <w:rPr>
                <w:b/>
                <w:sz w:val="24"/>
                <w:szCs w:val="24"/>
              </w:rPr>
              <w:t>SPS Involvement</w:t>
            </w:r>
          </w:p>
        </w:tc>
        <w:tc>
          <w:tcPr>
            <w:tcW w:w="4034" w:type="dxa"/>
          </w:tcPr>
          <w:p w:rsidR="00BA7EB7" w:rsidRPr="00992208" w:rsidRDefault="00BA7EB7" w:rsidP="002F17E1">
            <w:pPr>
              <w:jc w:val="center"/>
              <w:rPr>
                <w:b/>
                <w:sz w:val="24"/>
                <w:szCs w:val="24"/>
              </w:rPr>
            </w:pPr>
            <w:r w:rsidRPr="00992208">
              <w:rPr>
                <w:b/>
                <w:sz w:val="24"/>
                <w:szCs w:val="24"/>
              </w:rPr>
              <w:t>Action – Failure to Pay</w:t>
            </w:r>
            <w:r w:rsidR="0056380B">
              <w:rPr>
                <w:b/>
                <w:sz w:val="24"/>
                <w:szCs w:val="24"/>
              </w:rPr>
              <w:t>*</w:t>
            </w:r>
          </w:p>
        </w:tc>
        <w:tc>
          <w:tcPr>
            <w:tcW w:w="3330" w:type="dxa"/>
          </w:tcPr>
          <w:p w:rsidR="00BA7EB7" w:rsidRPr="00992208" w:rsidRDefault="00BA7EB7" w:rsidP="002F17E1">
            <w:pPr>
              <w:jc w:val="center"/>
              <w:rPr>
                <w:b/>
                <w:sz w:val="24"/>
                <w:szCs w:val="24"/>
              </w:rPr>
            </w:pPr>
            <w:r w:rsidRPr="00992208">
              <w:rPr>
                <w:b/>
                <w:sz w:val="24"/>
                <w:szCs w:val="24"/>
              </w:rPr>
              <w:t>Action – PI Performance</w:t>
            </w:r>
            <w:r w:rsidR="0056380B">
              <w:rPr>
                <w:b/>
                <w:sz w:val="24"/>
                <w:szCs w:val="24"/>
              </w:rPr>
              <w:t>*</w:t>
            </w:r>
          </w:p>
        </w:tc>
      </w:tr>
      <w:tr w:rsidR="00BA7EB7" w:rsidRPr="00A10A1E" w:rsidTr="00B436AE">
        <w:trPr>
          <w:trHeight w:val="170"/>
        </w:trPr>
        <w:tc>
          <w:tcPr>
            <w:tcW w:w="1423" w:type="dxa"/>
            <w:shd w:val="clear" w:color="auto" w:fill="BFBFBF" w:themeFill="background1" w:themeFillShade="BF"/>
          </w:tcPr>
          <w:p w:rsidR="00BA7EB7" w:rsidRPr="00A10A1E" w:rsidRDefault="00BA7EB7" w:rsidP="00A10A1E">
            <w:pPr>
              <w:jc w:val="center"/>
              <w:rPr>
                <w:b/>
                <w:sz w:val="16"/>
              </w:rPr>
            </w:pPr>
          </w:p>
        </w:tc>
        <w:tc>
          <w:tcPr>
            <w:tcW w:w="2712" w:type="dxa"/>
            <w:shd w:val="clear" w:color="auto" w:fill="BFBFBF" w:themeFill="background1" w:themeFillShade="BF"/>
          </w:tcPr>
          <w:p w:rsidR="00BA7EB7" w:rsidRPr="00A10A1E" w:rsidRDefault="00BA7EB7" w:rsidP="00A10A1E">
            <w:pPr>
              <w:jc w:val="center"/>
              <w:rPr>
                <w:b/>
                <w:sz w:val="16"/>
              </w:rPr>
            </w:pPr>
          </w:p>
        </w:tc>
        <w:tc>
          <w:tcPr>
            <w:tcW w:w="2709" w:type="dxa"/>
            <w:shd w:val="clear" w:color="auto" w:fill="BFBFBF" w:themeFill="background1" w:themeFillShade="BF"/>
          </w:tcPr>
          <w:p w:rsidR="00BA7EB7" w:rsidRPr="00A10A1E" w:rsidRDefault="00BA7EB7" w:rsidP="00A10A1E">
            <w:pPr>
              <w:jc w:val="center"/>
              <w:rPr>
                <w:b/>
                <w:sz w:val="16"/>
              </w:rPr>
            </w:pPr>
          </w:p>
        </w:tc>
        <w:tc>
          <w:tcPr>
            <w:tcW w:w="4034" w:type="dxa"/>
            <w:shd w:val="clear" w:color="auto" w:fill="BFBFBF" w:themeFill="background1" w:themeFillShade="BF"/>
          </w:tcPr>
          <w:p w:rsidR="00BA7EB7" w:rsidRPr="00A10A1E" w:rsidRDefault="004A2F3E" w:rsidP="00A10A1E">
            <w:pPr>
              <w:jc w:val="center"/>
              <w:rPr>
                <w:b/>
                <w:sz w:val="16"/>
              </w:rPr>
            </w:pPr>
            <w:r>
              <w:rPr>
                <w:b/>
                <w:sz w:val="16"/>
              </w:rPr>
              <w:t>Financial Risk – Department/University</w:t>
            </w:r>
          </w:p>
        </w:tc>
        <w:tc>
          <w:tcPr>
            <w:tcW w:w="3330" w:type="dxa"/>
            <w:shd w:val="clear" w:color="auto" w:fill="BFBFBF" w:themeFill="background1" w:themeFillShade="BF"/>
          </w:tcPr>
          <w:p w:rsidR="00BA7EB7" w:rsidRPr="00A10A1E" w:rsidRDefault="004A2F3E" w:rsidP="00A10A1E">
            <w:pPr>
              <w:jc w:val="center"/>
              <w:rPr>
                <w:b/>
                <w:sz w:val="16"/>
              </w:rPr>
            </w:pPr>
            <w:r>
              <w:rPr>
                <w:b/>
                <w:sz w:val="16"/>
              </w:rPr>
              <w:t>Financial Risk - Department</w:t>
            </w:r>
          </w:p>
        </w:tc>
      </w:tr>
      <w:tr w:rsidR="004A2F3E" w:rsidRPr="00775F8D" w:rsidTr="00B436AE">
        <w:tc>
          <w:tcPr>
            <w:tcW w:w="1423" w:type="dxa"/>
          </w:tcPr>
          <w:p w:rsidR="004A2F3E" w:rsidRPr="00992208" w:rsidRDefault="004A2F3E" w:rsidP="004A2F3E">
            <w:pPr>
              <w:rPr>
                <w:b/>
                <w:sz w:val="24"/>
                <w:szCs w:val="24"/>
              </w:rPr>
            </w:pPr>
            <w:r w:rsidRPr="00992208">
              <w:rPr>
                <w:b/>
                <w:sz w:val="24"/>
                <w:szCs w:val="24"/>
              </w:rPr>
              <w:t>Less than 30 Days</w:t>
            </w:r>
          </w:p>
        </w:tc>
        <w:tc>
          <w:tcPr>
            <w:tcW w:w="2712" w:type="dxa"/>
          </w:tcPr>
          <w:p w:rsidR="004A2F3E" w:rsidRPr="00992208" w:rsidRDefault="004A2F3E" w:rsidP="0036776A">
            <w:pPr>
              <w:pStyle w:val="ListParagraph"/>
              <w:numPr>
                <w:ilvl w:val="0"/>
                <w:numId w:val="2"/>
              </w:numPr>
              <w:ind w:left="216" w:hanging="216"/>
              <w:rPr>
                <w:sz w:val="20"/>
                <w:szCs w:val="20"/>
              </w:rPr>
            </w:pPr>
            <w:r w:rsidRPr="00992208">
              <w:rPr>
                <w:sz w:val="20"/>
                <w:szCs w:val="20"/>
              </w:rPr>
              <w:t>Research Specialist</w:t>
            </w:r>
          </w:p>
        </w:tc>
        <w:tc>
          <w:tcPr>
            <w:tcW w:w="2709" w:type="dxa"/>
          </w:tcPr>
          <w:p w:rsidR="004A2F3E" w:rsidRPr="00992208" w:rsidRDefault="004A2F3E" w:rsidP="0036776A">
            <w:pPr>
              <w:pStyle w:val="ListParagraph"/>
              <w:numPr>
                <w:ilvl w:val="0"/>
                <w:numId w:val="2"/>
              </w:numPr>
              <w:ind w:left="216" w:hanging="216"/>
              <w:rPr>
                <w:sz w:val="20"/>
                <w:szCs w:val="20"/>
              </w:rPr>
            </w:pPr>
            <w:r w:rsidRPr="00992208">
              <w:rPr>
                <w:sz w:val="20"/>
                <w:szCs w:val="20"/>
              </w:rPr>
              <w:t>Research Specialist</w:t>
            </w:r>
          </w:p>
        </w:tc>
        <w:tc>
          <w:tcPr>
            <w:tcW w:w="4034" w:type="dxa"/>
          </w:tcPr>
          <w:p w:rsidR="004A2F3E" w:rsidRDefault="00580520" w:rsidP="004A2F3E">
            <w:pPr>
              <w:pStyle w:val="ListParagraph"/>
              <w:numPr>
                <w:ilvl w:val="0"/>
                <w:numId w:val="2"/>
              </w:numPr>
              <w:ind w:left="216" w:hanging="216"/>
              <w:rPr>
                <w:sz w:val="20"/>
                <w:szCs w:val="20"/>
              </w:rPr>
            </w:pPr>
            <w:r>
              <w:rPr>
                <w:sz w:val="20"/>
                <w:szCs w:val="20"/>
              </w:rPr>
              <w:t>Remit is 30 days</w:t>
            </w:r>
          </w:p>
          <w:p w:rsidR="004A2F3E" w:rsidRPr="00992208" w:rsidRDefault="004A2F3E" w:rsidP="004A2F3E">
            <w:pPr>
              <w:pStyle w:val="ListParagraph"/>
              <w:numPr>
                <w:ilvl w:val="0"/>
                <w:numId w:val="2"/>
              </w:numPr>
              <w:ind w:left="216" w:hanging="216"/>
              <w:rPr>
                <w:sz w:val="20"/>
                <w:szCs w:val="20"/>
              </w:rPr>
            </w:pPr>
            <w:proofErr w:type="gramStart"/>
            <w:r w:rsidRPr="00992208">
              <w:rPr>
                <w:sz w:val="20"/>
                <w:szCs w:val="20"/>
              </w:rPr>
              <w:t>No</w:t>
            </w:r>
            <w:proofErr w:type="gramEnd"/>
            <w:r w:rsidRPr="00992208">
              <w:rPr>
                <w:sz w:val="20"/>
                <w:szCs w:val="20"/>
              </w:rPr>
              <w:t xml:space="preserve"> follow up at this stage. </w:t>
            </w:r>
          </w:p>
        </w:tc>
        <w:tc>
          <w:tcPr>
            <w:tcW w:w="3330" w:type="dxa"/>
          </w:tcPr>
          <w:p w:rsidR="004A2F3E" w:rsidRPr="00BA7EB7" w:rsidRDefault="00F25A27" w:rsidP="00F25A27">
            <w:pPr>
              <w:pStyle w:val="ListParagraph"/>
              <w:numPr>
                <w:ilvl w:val="0"/>
                <w:numId w:val="2"/>
              </w:numPr>
              <w:ind w:left="216" w:hanging="216"/>
              <w:rPr>
                <w:sz w:val="20"/>
                <w:szCs w:val="20"/>
              </w:rPr>
            </w:pPr>
            <w:r>
              <w:rPr>
                <w:sz w:val="20"/>
                <w:szCs w:val="20"/>
              </w:rPr>
              <w:t>None</w:t>
            </w:r>
          </w:p>
        </w:tc>
      </w:tr>
      <w:tr w:rsidR="004A2F3E" w:rsidRPr="00775F8D" w:rsidTr="00B436AE">
        <w:tc>
          <w:tcPr>
            <w:tcW w:w="1423" w:type="dxa"/>
          </w:tcPr>
          <w:p w:rsidR="004A2F3E" w:rsidRPr="00992208" w:rsidRDefault="004A2F3E" w:rsidP="004A2F3E">
            <w:pPr>
              <w:rPr>
                <w:b/>
                <w:sz w:val="24"/>
                <w:szCs w:val="24"/>
              </w:rPr>
            </w:pPr>
            <w:r w:rsidRPr="00992208">
              <w:rPr>
                <w:b/>
                <w:sz w:val="24"/>
                <w:szCs w:val="24"/>
              </w:rPr>
              <w:t>30 – 60 Days</w:t>
            </w:r>
          </w:p>
        </w:tc>
        <w:tc>
          <w:tcPr>
            <w:tcW w:w="2712" w:type="dxa"/>
          </w:tcPr>
          <w:p w:rsidR="004A2F3E" w:rsidRPr="00992208" w:rsidRDefault="004A2F3E" w:rsidP="0036776A">
            <w:pPr>
              <w:pStyle w:val="ListParagraph"/>
              <w:numPr>
                <w:ilvl w:val="0"/>
                <w:numId w:val="2"/>
              </w:numPr>
              <w:ind w:left="216" w:hanging="216"/>
              <w:rPr>
                <w:sz w:val="20"/>
                <w:szCs w:val="20"/>
              </w:rPr>
            </w:pPr>
            <w:r w:rsidRPr="00992208">
              <w:rPr>
                <w:sz w:val="20"/>
                <w:szCs w:val="20"/>
              </w:rPr>
              <w:t>Research Specialist</w:t>
            </w:r>
          </w:p>
        </w:tc>
        <w:tc>
          <w:tcPr>
            <w:tcW w:w="2709" w:type="dxa"/>
          </w:tcPr>
          <w:p w:rsidR="004A2F3E" w:rsidRPr="00992208" w:rsidRDefault="004A2F3E" w:rsidP="0036776A">
            <w:pPr>
              <w:pStyle w:val="ListParagraph"/>
              <w:numPr>
                <w:ilvl w:val="0"/>
                <w:numId w:val="2"/>
              </w:numPr>
              <w:ind w:left="216" w:hanging="216"/>
              <w:rPr>
                <w:sz w:val="20"/>
                <w:szCs w:val="20"/>
              </w:rPr>
            </w:pPr>
            <w:r w:rsidRPr="00992208">
              <w:rPr>
                <w:sz w:val="20"/>
                <w:szCs w:val="20"/>
              </w:rPr>
              <w:t>Research Specialist</w:t>
            </w:r>
          </w:p>
        </w:tc>
        <w:tc>
          <w:tcPr>
            <w:tcW w:w="4034" w:type="dxa"/>
          </w:tcPr>
          <w:p w:rsidR="004A2F3E" w:rsidRPr="00992208" w:rsidRDefault="004A2F3E" w:rsidP="00596658">
            <w:pPr>
              <w:pStyle w:val="ListParagraph"/>
              <w:numPr>
                <w:ilvl w:val="0"/>
                <w:numId w:val="2"/>
              </w:numPr>
              <w:ind w:left="216" w:hanging="216"/>
              <w:rPr>
                <w:sz w:val="20"/>
                <w:szCs w:val="20"/>
              </w:rPr>
            </w:pPr>
            <w:r w:rsidRPr="00992208">
              <w:rPr>
                <w:sz w:val="20"/>
                <w:szCs w:val="20"/>
              </w:rPr>
              <w:t xml:space="preserve">HIGH RISK ONLY– Initial </w:t>
            </w:r>
            <w:r>
              <w:rPr>
                <w:sz w:val="20"/>
                <w:szCs w:val="20"/>
              </w:rPr>
              <w:t xml:space="preserve">sponsor </w:t>
            </w:r>
            <w:r w:rsidRPr="00992208">
              <w:rPr>
                <w:sz w:val="20"/>
                <w:szCs w:val="20"/>
              </w:rPr>
              <w:t xml:space="preserve">contact made </w:t>
            </w:r>
            <w:r>
              <w:rPr>
                <w:sz w:val="20"/>
                <w:szCs w:val="20"/>
              </w:rPr>
              <w:t xml:space="preserve">via email with copy of invoice </w:t>
            </w:r>
          </w:p>
        </w:tc>
        <w:tc>
          <w:tcPr>
            <w:tcW w:w="3330" w:type="dxa"/>
          </w:tcPr>
          <w:p w:rsidR="004A2F3E" w:rsidRPr="00BA7EB7" w:rsidRDefault="00F25A27" w:rsidP="00C3154E">
            <w:pPr>
              <w:pStyle w:val="ListParagraph"/>
              <w:numPr>
                <w:ilvl w:val="0"/>
                <w:numId w:val="2"/>
              </w:numPr>
              <w:ind w:left="216" w:hanging="216"/>
              <w:rPr>
                <w:sz w:val="20"/>
                <w:szCs w:val="20"/>
              </w:rPr>
            </w:pPr>
            <w:r>
              <w:rPr>
                <w:sz w:val="20"/>
                <w:szCs w:val="20"/>
              </w:rPr>
              <w:t>None</w:t>
            </w:r>
          </w:p>
        </w:tc>
      </w:tr>
      <w:tr w:rsidR="004A2F3E" w:rsidRPr="00775F8D" w:rsidTr="00B436AE">
        <w:tc>
          <w:tcPr>
            <w:tcW w:w="1423" w:type="dxa"/>
          </w:tcPr>
          <w:p w:rsidR="004A2F3E" w:rsidRPr="00992208" w:rsidRDefault="004A2F3E" w:rsidP="004A2F3E">
            <w:pPr>
              <w:rPr>
                <w:b/>
                <w:sz w:val="24"/>
                <w:szCs w:val="24"/>
              </w:rPr>
            </w:pPr>
            <w:r w:rsidRPr="00992208">
              <w:rPr>
                <w:b/>
                <w:sz w:val="24"/>
                <w:szCs w:val="24"/>
              </w:rPr>
              <w:t>60 – 90 Days</w:t>
            </w:r>
          </w:p>
        </w:tc>
        <w:tc>
          <w:tcPr>
            <w:tcW w:w="2712" w:type="dxa"/>
          </w:tcPr>
          <w:p w:rsidR="004A2F3E" w:rsidRPr="00992208" w:rsidRDefault="004A2F3E" w:rsidP="0036776A">
            <w:pPr>
              <w:pStyle w:val="ListParagraph"/>
              <w:numPr>
                <w:ilvl w:val="0"/>
                <w:numId w:val="2"/>
              </w:numPr>
              <w:ind w:left="216" w:hanging="216"/>
              <w:rPr>
                <w:sz w:val="20"/>
                <w:szCs w:val="20"/>
              </w:rPr>
            </w:pPr>
            <w:r w:rsidRPr="00992208">
              <w:rPr>
                <w:sz w:val="20"/>
                <w:szCs w:val="20"/>
              </w:rPr>
              <w:t>Research Specialist</w:t>
            </w:r>
          </w:p>
        </w:tc>
        <w:tc>
          <w:tcPr>
            <w:tcW w:w="2709" w:type="dxa"/>
          </w:tcPr>
          <w:p w:rsidR="004A2F3E" w:rsidRDefault="004A2F3E" w:rsidP="0036776A">
            <w:pPr>
              <w:pStyle w:val="ListParagraph"/>
              <w:numPr>
                <w:ilvl w:val="0"/>
                <w:numId w:val="2"/>
              </w:numPr>
              <w:ind w:left="216" w:hanging="216"/>
              <w:rPr>
                <w:sz w:val="20"/>
                <w:szCs w:val="20"/>
              </w:rPr>
            </w:pPr>
            <w:r w:rsidRPr="00992208">
              <w:rPr>
                <w:sz w:val="20"/>
                <w:szCs w:val="20"/>
              </w:rPr>
              <w:t>Research Specialist</w:t>
            </w:r>
            <w:r>
              <w:rPr>
                <w:sz w:val="20"/>
                <w:szCs w:val="20"/>
              </w:rPr>
              <w:t xml:space="preserve"> </w:t>
            </w:r>
          </w:p>
          <w:p w:rsidR="004A2F3E" w:rsidRPr="00992208" w:rsidRDefault="004A2F3E" w:rsidP="0036776A">
            <w:pPr>
              <w:pStyle w:val="ListParagraph"/>
              <w:numPr>
                <w:ilvl w:val="0"/>
                <w:numId w:val="2"/>
              </w:numPr>
              <w:ind w:left="216" w:hanging="216"/>
              <w:rPr>
                <w:sz w:val="20"/>
                <w:szCs w:val="20"/>
              </w:rPr>
            </w:pPr>
            <w:r>
              <w:rPr>
                <w:sz w:val="20"/>
                <w:szCs w:val="20"/>
              </w:rPr>
              <w:t>RA Manager</w:t>
            </w:r>
          </w:p>
        </w:tc>
        <w:tc>
          <w:tcPr>
            <w:tcW w:w="4034" w:type="dxa"/>
          </w:tcPr>
          <w:p w:rsidR="004A2F3E" w:rsidRPr="0062276D" w:rsidRDefault="004A2F3E" w:rsidP="004A2F3E">
            <w:pPr>
              <w:pStyle w:val="ListParagraph"/>
              <w:numPr>
                <w:ilvl w:val="0"/>
                <w:numId w:val="2"/>
              </w:numPr>
              <w:ind w:left="216" w:hanging="216"/>
              <w:rPr>
                <w:sz w:val="20"/>
                <w:szCs w:val="20"/>
              </w:rPr>
            </w:pPr>
            <w:r w:rsidRPr="0062276D">
              <w:rPr>
                <w:sz w:val="20"/>
                <w:szCs w:val="20"/>
              </w:rPr>
              <w:t>HIGH RISK – Second sponsor notice sent via email (notify that work may be suspended) - SPS not</w:t>
            </w:r>
            <w:r w:rsidR="00242505" w:rsidRPr="0062276D">
              <w:rPr>
                <w:sz w:val="20"/>
                <w:szCs w:val="20"/>
              </w:rPr>
              <w:t xml:space="preserve">ify PI, subcontractors </w:t>
            </w:r>
            <w:r w:rsidRPr="0062276D">
              <w:rPr>
                <w:sz w:val="20"/>
                <w:szCs w:val="20"/>
              </w:rPr>
              <w:t>and copy Business Office</w:t>
            </w:r>
          </w:p>
          <w:p w:rsidR="00CF4B47" w:rsidRPr="0062276D" w:rsidRDefault="004A2F3E" w:rsidP="00242505">
            <w:pPr>
              <w:pStyle w:val="ListParagraph"/>
              <w:numPr>
                <w:ilvl w:val="0"/>
                <w:numId w:val="2"/>
              </w:numPr>
              <w:ind w:left="216" w:hanging="216"/>
              <w:rPr>
                <w:sz w:val="20"/>
                <w:szCs w:val="20"/>
              </w:rPr>
            </w:pPr>
            <w:r w:rsidRPr="0062276D">
              <w:rPr>
                <w:sz w:val="20"/>
                <w:szCs w:val="20"/>
              </w:rPr>
              <w:t>All Others - Initial sponsor contact made via email with copy of invoice - SPS notify Business Office</w:t>
            </w:r>
          </w:p>
        </w:tc>
        <w:tc>
          <w:tcPr>
            <w:tcW w:w="3330" w:type="dxa"/>
          </w:tcPr>
          <w:p w:rsidR="00F25A27" w:rsidRDefault="00F25A27" w:rsidP="00F25A27">
            <w:pPr>
              <w:pStyle w:val="ListParagraph"/>
              <w:numPr>
                <w:ilvl w:val="0"/>
                <w:numId w:val="2"/>
              </w:numPr>
              <w:ind w:left="216" w:hanging="216"/>
              <w:rPr>
                <w:sz w:val="20"/>
                <w:szCs w:val="20"/>
              </w:rPr>
            </w:pPr>
            <w:r>
              <w:rPr>
                <w:sz w:val="20"/>
                <w:szCs w:val="20"/>
              </w:rPr>
              <w:t xml:space="preserve">SPS </w:t>
            </w:r>
            <w:r w:rsidRPr="00BA7EB7">
              <w:rPr>
                <w:sz w:val="20"/>
                <w:szCs w:val="20"/>
              </w:rPr>
              <w:t xml:space="preserve">notify Business </w:t>
            </w:r>
            <w:r>
              <w:rPr>
                <w:sz w:val="20"/>
                <w:szCs w:val="20"/>
              </w:rPr>
              <w:t>Manager</w:t>
            </w:r>
            <w:r w:rsidRPr="00BA7EB7">
              <w:rPr>
                <w:sz w:val="20"/>
                <w:szCs w:val="20"/>
              </w:rPr>
              <w:t xml:space="preserve"> </w:t>
            </w:r>
          </w:p>
          <w:p w:rsidR="004A2F3E" w:rsidRPr="0062276D" w:rsidRDefault="004A2F3E" w:rsidP="00F25A27">
            <w:pPr>
              <w:pStyle w:val="ListParagraph"/>
              <w:ind w:left="216"/>
              <w:rPr>
                <w:sz w:val="20"/>
                <w:szCs w:val="20"/>
              </w:rPr>
            </w:pPr>
          </w:p>
        </w:tc>
      </w:tr>
      <w:tr w:rsidR="004A2F3E" w:rsidRPr="00775F8D" w:rsidTr="00B436AE">
        <w:tc>
          <w:tcPr>
            <w:tcW w:w="1423" w:type="dxa"/>
          </w:tcPr>
          <w:p w:rsidR="004A2F3E" w:rsidRPr="00992208" w:rsidRDefault="004A2F3E" w:rsidP="004A2F3E">
            <w:pPr>
              <w:rPr>
                <w:b/>
                <w:sz w:val="24"/>
                <w:szCs w:val="24"/>
              </w:rPr>
            </w:pPr>
            <w:r w:rsidRPr="00992208">
              <w:rPr>
                <w:b/>
                <w:sz w:val="24"/>
                <w:szCs w:val="24"/>
              </w:rPr>
              <w:t>90 – 120 Days</w:t>
            </w:r>
          </w:p>
        </w:tc>
        <w:tc>
          <w:tcPr>
            <w:tcW w:w="2712" w:type="dxa"/>
          </w:tcPr>
          <w:p w:rsidR="004A2F3E" w:rsidRDefault="004A2F3E" w:rsidP="0036776A">
            <w:pPr>
              <w:pStyle w:val="ListParagraph"/>
              <w:numPr>
                <w:ilvl w:val="0"/>
                <w:numId w:val="2"/>
              </w:numPr>
              <w:ind w:left="216" w:hanging="216"/>
              <w:rPr>
                <w:sz w:val="20"/>
                <w:szCs w:val="20"/>
              </w:rPr>
            </w:pPr>
            <w:r>
              <w:rPr>
                <w:sz w:val="20"/>
                <w:szCs w:val="20"/>
              </w:rPr>
              <w:t>Research Specialist</w:t>
            </w:r>
          </w:p>
          <w:p w:rsidR="0036776A" w:rsidRDefault="0036776A" w:rsidP="0036776A">
            <w:pPr>
              <w:pStyle w:val="ListParagraph"/>
              <w:numPr>
                <w:ilvl w:val="0"/>
                <w:numId w:val="2"/>
              </w:numPr>
              <w:ind w:left="216" w:hanging="216"/>
              <w:rPr>
                <w:sz w:val="20"/>
                <w:szCs w:val="20"/>
              </w:rPr>
            </w:pPr>
            <w:r>
              <w:rPr>
                <w:sz w:val="20"/>
                <w:szCs w:val="20"/>
              </w:rPr>
              <w:t>RA Manager</w:t>
            </w:r>
          </w:p>
          <w:p w:rsidR="0036776A" w:rsidRPr="00992208" w:rsidRDefault="0036776A" w:rsidP="0036776A">
            <w:pPr>
              <w:pStyle w:val="ListParagraph"/>
              <w:ind w:left="216"/>
              <w:rPr>
                <w:sz w:val="20"/>
                <w:szCs w:val="20"/>
              </w:rPr>
            </w:pPr>
          </w:p>
        </w:tc>
        <w:tc>
          <w:tcPr>
            <w:tcW w:w="2709" w:type="dxa"/>
          </w:tcPr>
          <w:p w:rsidR="004A2F3E" w:rsidRDefault="004A2F3E" w:rsidP="004A2F3E">
            <w:pPr>
              <w:pStyle w:val="ListParagraph"/>
              <w:numPr>
                <w:ilvl w:val="0"/>
                <w:numId w:val="2"/>
              </w:numPr>
              <w:ind w:left="216" w:hanging="216"/>
              <w:rPr>
                <w:sz w:val="20"/>
                <w:szCs w:val="20"/>
              </w:rPr>
            </w:pPr>
            <w:r w:rsidRPr="00992208">
              <w:rPr>
                <w:sz w:val="20"/>
                <w:szCs w:val="20"/>
              </w:rPr>
              <w:t>Research Specialist</w:t>
            </w:r>
            <w:r>
              <w:rPr>
                <w:sz w:val="20"/>
                <w:szCs w:val="20"/>
              </w:rPr>
              <w:t xml:space="preserve"> </w:t>
            </w:r>
          </w:p>
          <w:p w:rsidR="004A2F3E" w:rsidRDefault="004A2F3E" w:rsidP="004A2F3E">
            <w:pPr>
              <w:pStyle w:val="ListParagraph"/>
              <w:numPr>
                <w:ilvl w:val="0"/>
                <w:numId w:val="2"/>
              </w:numPr>
              <w:ind w:left="216" w:hanging="216"/>
              <w:rPr>
                <w:sz w:val="20"/>
                <w:szCs w:val="20"/>
              </w:rPr>
            </w:pPr>
            <w:r>
              <w:rPr>
                <w:sz w:val="20"/>
                <w:szCs w:val="20"/>
              </w:rPr>
              <w:t>RA Manager</w:t>
            </w:r>
          </w:p>
          <w:p w:rsidR="004A2F3E" w:rsidRDefault="004A2F3E" w:rsidP="003A2378">
            <w:pPr>
              <w:pStyle w:val="ListParagraph"/>
              <w:ind w:left="216"/>
              <w:rPr>
                <w:sz w:val="20"/>
                <w:szCs w:val="20"/>
              </w:rPr>
            </w:pPr>
          </w:p>
          <w:p w:rsidR="004A2F3E" w:rsidRPr="00992208" w:rsidRDefault="004A2F3E" w:rsidP="004A2F3E">
            <w:pPr>
              <w:pStyle w:val="ListParagraph"/>
              <w:ind w:left="216"/>
              <w:rPr>
                <w:sz w:val="20"/>
                <w:szCs w:val="20"/>
              </w:rPr>
            </w:pPr>
          </w:p>
        </w:tc>
        <w:tc>
          <w:tcPr>
            <w:tcW w:w="4034" w:type="dxa"/>
          </w:tcPr>
          <w:p w:rsidR="004A2F3E" w:rsidRPr="0062276D" w:rsidRDefault="004A2F3E" w:rsidP="004A2F3E">
            <w:pPr>
              <w:pStyle w:val="ListParagraph"/>
              <w:numPr>
                <w:ilvl w:val="0"/>
                <w:numId w:val="2"/>
              </w:numPr>
              <w:ind w:left="216" w:hanging="216"/>
              <w:rPr>
                <w:sz w:val="20"/>
                <w:szCs w:val="20"/>
              </w:rPr>
            </w:pPr>
            <w:r w:rsidRPr="0062276D">
              <w:rPr>
                <w:sz w:val="20"/>
                <w:szCs w:val="20"/>
              </w:rPr>
              <w:t>HIGH RISK – Third sponsor notice sent via email (inform that work will be suspended at 120 days) - SPS notify PI,</w:t>
            </w:r>
            <w:r w:rsidR="00242505" w:rsidRPr="0062276D">
              <w:rPr>
                <w:sz w:val="20"/>
                <w:szCs w:val="20"/>
              </w:rPr>
              <w:t xml:space="preserve"> subcontractors </w:t>
            </w:r>
            <w:r w:rsidRPr="0062276D">
              <w:rPr>
                <w:sz w:val="20"/>
                <w:szCs w:val="20"/>
              </w:rPr>
              <w:t>copy Business Office and inform the Department Head</w:t>
            </w:r>
          </w:p>
          <w:p w:rsidR="004A2F3E" w:rsidRPr="0062276D" w:rsidRDefault="004A2F3E" w:rsidP="004A2F3E">
            <w:pPr>
              <w:pStyle w:val="ListParagraph"/>
              <w:numPr>
                <w:ilvl w:val="0"/>
                <w:numId w:val="2"/>
              </w:numPr>
              <w:ind w:left="216" w:hanging="216"/>
              <w:rPr>
                <w:sz w:val="20"/>
                <w:szCs w:val="20"/>
              </w:rPr>
            </w:pPr>
            <w:r w:rsidRPr="0062276D">
              <w:rPr>
                <w:sz w:val="20"/>
                <w:szCs w:val="20"/>
              </w:rPr>
              <w:t>All Others – Second sponsor contact made via email with copy of invoice</w:t>
            </w:r>
            <w:r w:rsidR="00580520" w:rsidRPr="0062276D">
              <w:rPr>
                <w:sz w:val="20"/>
                <w:szCs w:val="20"/>
              </w:rPr>
              <w:t xml:space="preserve"> - </w:t>
            </w:r>
            <w:r w:rsidR="00580520" w:rsidRPr="00596658">
              <w:rPr>
                <w:sz w:val="20"/>
                <w:szCs w:val="20"/>
              </w:rPr>
              <w:t xml:space="preserve">(inform that </w:t>
            </w:r>
            <w:r w:rsidR="00C05310" w:rsidRPr="00596658">
              <w:rPr>
                <w:sz w:val="20"/>
                <w:szCs w:val="20"/>
              </w:rPr>
              <w:t xml:space="preserve">could </w:t>
            </w:r>
            <w:r w:rsidR="007C4A34" w:rsidRPr="00596658">
              <w:rPr>
                <w:sz w:val="20"/>
                <w:szCs w:val="20"/>
              </w:rPr>
              <w:t>impact</w:t>
            </w:r>
            <w:r w:rsidR="00C05310" w:rsidRPr="00596658">
              <w:rPr>
                <w:sz w:val="20"/>
                <w:szCs w:val="20"/>
              </w:rPr>
              <w:t xml:space="preserve"> your credit rating or future projects with the University</w:t>
            </w:r>
            <w:r w:rsidR="00580520" w:rsidRPr="00596658">
              <w:rPr>
                <w:sz w:val="20"/>
                <w:szCs w:val="20"/>
              </w:rPr>
              <w:t>)</w:t>
            </w:r>
            <w:r w:rsidRPr="00596658">
              <w:rPr>
                <w:sz w:val="20"/>
                <w:szCs w:val="20"/>
              </w:rPr>
              <w:t xml:space="preserve"> - SPS notify </w:t>
            </w:r>
            <w:r w:rsidRPr="0062276D">
              <w:rPr>
                <w:sz w:val="20"/>
                <w:szCs w:val="20"/>
              </w:rPr>
              <w:t>PI</w:t>
            </w:r>
            <w:r w:rsidR="00242505" w:rsidRPr="0062276D">
              <w:rPr>
                <w:sz w:val="20"/>
                <w:szCs w:val="20"/>
              </w:rPr>
              <w:t>, subcontractors</w:t>
            </w:r>
            <w:r w:rsidRPr="0062276D">
              <w:rPr>
                <w:sz w:val="20"/>
                <w:szCs w:val="20"/>
              </w:rPr>
              <w:t xml:space="preserve"> and copy Business Office</w:t>
            </w:r>
            <w:r w:rsidR="00580520" w:rsidRPr="0062276D">
              <w:rPr>
                <w:sz w:val="20"/>
                <w:szCs w:val="20"/>
              </w:rPr>
              <w:t xml:space="preserve"> </w:t>
            </w:r>
          </w:p>
          <w:p w:rsidR="004A2F3E" w:rsidRPr="0062276D" w:rsidRDefault="004A2F3E" w:rsidP="00C05310">
            <w:pPr>
              <w:pStyle w:val="ListParagraph"/>
              <w:numPr>
                <w:ilvl w:val="0"/>
                <w:numId w:val="2"/>
              </w:numPr>
              <w:ind w:left="216" w:hanging="216"/>
              <w:rPr>
                <w:sz w:val="20"/>
                <w:szCs w:val="20"/>
              </w:rPr>
            </w:pPr>
            <w:r w:rsidRPr="00596658">
              <w:rPr>
                <w:sz w:val="20"/>
                <w:szCs w:val="20"/>
              </w:rPr>
              <w:t>Research Specialist and RA Manager review to determine</w:t>
            </w:r>
            <w:r w:rsidR="00C05310" w:rsidRPr="00596658">
              <w:rPr>
                <w:sz w:val="20"/>
                <w:szCs w:val="20"/>
              </w:rPr>
              <w:t xml:space="preserve"> additional actions and further notifications</w:t>
            </w:r>
            <w:r w:rsidRPr="00596658">
              <w:rPr>
                <w:sz w:val="20"/>
                <w:szCs w:val="20"/>
              </w:rPr>
              <w:t xml:space="preserve"> </w:t>
            </w:r>
          </w:p>
        </w:tc>
        <w:tc>
          <w:tcPr>
            <w:tcW w:w="3330" w:type="dxa"/>
          </w:tcPr>
          <w:p w:rsidR="004A2F3E" w:rsidRPr="0062276D" w:rsidRDefault="004A2F3E" w:rsidP="004A2F3E">
            <w:pPr>
              <w:pStyle w:val="ListParagraph"/>
              <w:numPr>
                <w:ilvl w:val="0"/>
                <w:numId w:val="2"/>
              </w:numPr>
              <w:ind w:left="216" w:hanging="216"/>
              <w:rPr>
                <w:sz w:val="20"/>
                <w:szCs w:val="20"/>
              </w:rPr>
            </w:pPr>
            <w:r w:rsidRPr="0062276D">
              <w:rPr>
                <w:sz w:val="20"/>
                <w:szCs w:val="20"/>
              </w:rPr>
              <w:t xml:space="preserve">SPS notify PI </w:t>
            </w:r>
            <w:r w:rsidR="00F25A27">
              <w:rPr>
                <w:sz w:val="20"/>
                <w:szCs w:val="20"/>
              </w:rPr>
              <w:t>and</w:t>
            </w:r>
            <w:r w:rsidRPr="0062276D">
              <w:rPr>
                <w:sz w:val="20"/>
                <w:szCs w:val="20"/>
              </w:rPr>
              <w:t xml:space="preserve"> Business </w:t>
            </w:r>
            <w:r w:rsidR="00C3154E" w:rsidRPr="0062276D">
              <w:rPr>
                <w:sz w:val="20"/>
                <w:szCs w:val="20"/>
              </w:rPr>
              <w:t>Manager</w:t>
            </w:r>
          </w:p>
          <w:p w:rsidR="004A2F3E" w:rsidRPr="0062276D" w:rsidRDefault="00B436AE" w:rsidP="004A2F3E">
            <w:pPr>
              <w:pStyle w:val="ListParagraph"/>
              <w:numPr>
                <w:ilvl w:val="0"/>
                <w:numId w:val="2"/>
              </w:numPr>
              <w:ind w:left="216" w:hanging="216"/>
              <w:rPr>
                <w:sz w:val="20"/>
                <w:szCs w:val="20"/>
              </w:rPr>
            </w:pPr>
            <w:r w:rsidRPr="0062276D">
              <w:rPr>
                <w:sz w:val="20"/>
                <w:szCs w:val="20"/>
              </w:rPr>
              <w:t xml:space="preserve">Business </w:t>
            </w:r>
            <w:r w:rsidR="00C3154E" w:rsidRPr="0062276D">
              <w:rPr>
                <w:sz w:val="20"/>
                <w:szCs w:val="20"/>
              </w:rPr>
              <w:t xml:space="preserve">Manager </w:t>
            </w:r>
            <w:r w:rsidRPr="0062276D">
              <w:rPr>
                <w:sz w:val="20"/>
                <w:szCs w:val="20"/>
              </w:rPr>
              <w:t xml:space="preserve">should notify the Department Head that if the company </w:t>
            </w:r>
            <w:r w:rsidR="00596658" w:rsidRPr="0062276D">
              <w:rPr>
                <w:sz w:val="20"/>
                <w:szCs w:val="20"/>
              </w:rPr>
              <w:t>does not</w:t>
            </w:r>
            <w:r w:rsidRPr="0062276D">
              <w:rPr>
                <w:sz w:val="20"/>
                <w:szCs w:val="20"/>
              </w:rPr>
              <w:t xml:space="preserve"> make the payment it is a department responsibility to cover the cash deficit on the account</w:t>
            </w:r>
            <w:r w:rsidR="00242505" w:rsidRPr="0062276D">
              <w:rPr>
                <w:sz w:val="20"/>
                <w:szCs w:val="20"/>
              </w:rPr>
              <w:t xml:space="preserve"> including obligations to the subcontractors</w:t>
            </w:r>
            <w:r w:rsidRPr="0062276D">
              <w:rPr>
                <w:sz w:val="20"/>
                <w:szCs w:val="20"/>
              </w:rPr>
              <w:t>.</w:t>
            </w:r>
          </w:p>
          <w:p w:rsidR="00CF4B47" w:rsidRPr="0062276D" w:rsidRDefault="00C3154E" w:rsidP="00C3154E">
            <w:pPr>
              <w:pStyle w:val="ListParagraph"/>
              <w:numPr>
                <w:ilvl w:val="0"/>
                <w:numId w:val="2"/>
              </w:numPr>
              <w:ind w:left="216" w:hanging="216"/>
              <w:rPr>
                <w:sz w:val="20"/>
                <w:szCs w:val="20"/>
              </w:rPr>
            </w:pPr>
            <w:r w:rsidRPr="0062276D">
              <w:rPr>
                <w:sz w:val="20"/>
                <w:szCs w:val="20"/>
              </w:rPr>
              <w:t>SPS notify Chief Corporate and Global Affairs Officer</w:t>
            </w:r>
          </w:p>
        </w:tc>
      </w:tr>
      <w:tr w:rsidR="004A2F3E" w:rsidRPr="00775F8D" w:rsidTr="00B436AE">
        <w:tc>
          <w:tcPr>
            <w:tcW w:w="1423" w:type="dxa"/>
          </w:tcPr>
          <w:p w:rsidR="004A2F3E" w:rsidRPr="00992208" w:rsidRDefault="004A2F3E" w:rsidP="004A2F3E">
            <w:pPr>
              <w:rPr>
                <w:b/>
                <w:sz w:val="24"/>
                <w:szCs w:val="24"/>
              </w:rPr>
            </w:pPr>
            <w:r w:rsidRPr="00992208">
              <w:rPr>
                <w:b/>
                <w:sz w:val="24"/>
                <w:szCs w:val="24"/>
              </w:rPr>
              <w:t>120 – 180 Days</w:t>
            </w:r>
          </w:p>
        </w:tc>
        <w:tc>
          <w:tcPr>
            <w:tcW w:w="2712" w:type="dxa"/>
          </w:tcPr>
          <w:p w:rsidR="004A2F3E" w:rsidRDefault="004A2F3E" w:rsidP="0036776A">
            <w:pPr>
              <w:pStyle w:val="ListParagraph"/>
              <w:numPr>
                <w:ilvl w:val="0"/>
                <w:numId w:val="2"/>
              </w:numPr>
              <w:ind w:left="216" w:hanging="216"/>
              <w:rPr>
                <w:sz w:val="20"/>
                <w:szCs w:val="20"/>
              </w:rPr>
            </w:pPr>
            <w:r>
              <w:rPr>
                <w:sz w:val="20"/>
                <w:szCs w:val="20"/>
              </w:rPr>
              <w:t>Research Specialist</w:t>
            </w:r>
            <w:r w:rsidRPr="00992208">
              <w:rPr>
                <w:sz w:val="20"/>
                <w:szCs w:val="20"/>
              </w:rPr>
              <w:t xml:space="preserve"> </w:t>
            </w:r>
          </w:p>
          <w:p w:rsidR="0036776A" w:rsidRDefault="0036776A" w:rsidP="0036776A">
            <w:pPr>
              <w:pStyle w:val="ListParagraph"/>
              <w:numPr>
                <w:ilvl w:val="0"/>
                <w:numId w:val="2"/>
              </w:numPr>
              <w:ind w:left="216" w:hanging="216"/>
              <w:rPr>
                <w:sz w:val="20"/>
                <w:szCs w:val="20"/>
              </w:rPr>
            </w:pPr>
            <w:r>
              <w:rPr>
                <w:sz w:val="20"/>
                <w:szCs w:val="20"/>
              </w:rPr>
              <w:t>RA Manager</w:t>
            </w:r>
          </w:p>
          <w:p w:rsidR="0036776A" w:rsidRDefault="0036776A" w:rsidP="0036776A">
            <w:pPr>
              <w:pStyle w:val="ListParagraph"/>
              <w:numPr>
                <w:ilvl w:val="0"/>
                <w:numId w:val="2"/>
              </w:numPr>
              <w:ind w:left="216" w:hanging="216"/>
              <w:rPr>
                <w:sz w:val="20"/>
                <w:szCs w:val="20"/>
              </w:rPr>
            </w:pPr>
            <w:r w:rsidRPr="00992208">
              <w:rPr>
                <w:sz w:val="20"/>
                <w:szCs w:val="20"/>
              </w:rPr>
              <w:t>Post Award</w:t>
            </w:r>
            <w:r>
              <w:rPr>
                <w:sz w:val="20"/>
                <w:szCs w:val="20"/>
              </w:rPr>
              <w:t xml:space="preserve"> </w:t>
            </w:r>
            <w:r w:rsidRPr="00992208">
              <w:rPr>
                <w:sz w:val="20"/>
                <w:szCs w:val="20"/>
              </w:rPr>
              <w:t>Director</w:t>
            </w:r>
          </w:p>
          <w:p w:rsidR="0036776A" w:rsidRPr="00992208" w:rsidRDefault="0036776A" w:rsidP="0036776A">
            <w:pPr>
              <w:pStyle w:val="ListParagraph"/>
              <w:ind w:left="216"/>
              <w:rPr>
                <w:sz w:val="20"/>
                <w:szCs w:val="20"/>
              </w:rPr>
            </w:pPr>
          </w:p>
        </w:tc>
        <w:tc>
          <w:tcPr>
            <w:tcW w:w="2709" w:type="dxa"/>
          </w:tcPr>
          <w:p w:rsidR="0036776A" w:rsidRDefault="0036776A" w:rsidP="0036776A">
            <w:pPr>
              <w:pStyle w:val="ListParagraph"/>
              <w:numPr>
                <w:ilvl w:val="0"/>
                <w:numId w:val="2"/>
              </w:numPr>
              <w:ind w:left="216" w:hanging="216"/>
              <w:rPr>
                <w:sz w:val="20"/>
                <w:szCs w:val="20"/>
              </w:rPr>
            </w:pPr>
            <w:r w:rsidRPr="00992208">
              <w:rPr>
                <w:sz w:val="20"/>
                <w:szCs w:val="20"/>
              </w:rPr>
              <w:t>Research Specialist</w:t>
            </w:r>
            <w:r>
              <w:rPr>
                <w:sz w:val="20"/>
                <w:szCs w:val="20"/>
              </w:rPr>
              <w:t xml:space="preserve"> </w:t>
            </w:r>
          </w:p>
          <w:p w:rsidR="004A2F3E" w:rsidRDefault="004A2F3E" w:rsidP="0036776A">
            <w:pPr>
              <w:pStyle w:val="ListParagraph"/>
              <w:numPr>
                <w:ilvl w:val="0"/>
                <w:numId w:val="2"/>
              </w:numPr>
              <w:ind w:left="216" w:hanging="216"/>
              <w:rPr>
                <w:sz w:val="20"/>
                <w:szCs w:val="20"/>
              </w:rPr>
            </w:pPr>
            <w:r>
              <w:rPr>
                <w:sz w:val="20"/>
                <w:szCs w:val="20"/>
              </w:rPr>
              <w:t>RA Manager</w:t>
            </w:r>
          </w:p>
          <w:p w:rsidR="004A2F3E" w:rsidRPr="0036776A" w:rsidRDefault="004A2F3E" w:rsidP="00F25A27">
            <w:pPr>
              <w:pStyle w:val="ListParagraph"/>
              <w:ind w:left="216"/>
              <w:rPr>
                <w:sz w:val="20"/>
                <w:szCs w:val="20"/>
              </w:rPr>
            </w:pPr>
          </w:p>
        </w:tc>
        <w:tc>
          <w:tcPr>
            <w:tcW w:w="4034" w:type="dxa"/>
          </w:tcPr>
          <w:p w:rsidR="004A2F3E" w:rsidRPr="0062276D" w:rsidRDefault="004A2F3E" w:rsidP="004A2F3E">
            <w:pPr>
              <w:pStyle w:val="ListParagraph"/>
              <w:numPr>
                <w:ilvl w:val="0"/>
                <w:numId w:val="2"/>
              </w:numPr>
              <w:ind w:left="216" w:hanging="216"/>
              <w:rPr>
                <w:sz w:val="20"/>
                <w:szCs w:val="20"/>
              </w:rPr>
            </w:pPr>
            <w:r w:rsidRPr="0062276D">
              <w:rPr>
                <w:sz w:val="20"/>
                <w:szCs w:val="20"/>
              </w:rPr>
              <w:t xml:space="preserve">HIGH RISK – </w:t>
            </w:r>
            <w:r w:rsidR="00B436AE" w:rsidRPr="0062276D">
              <w:rPr>
                <w:sz w:val="20"/>
                <w:szCs w:val="20"/>
              </w:rPr>
              <w:t xml:space="preserve">Upon approval Post Award Director </w:t>
            </w:r>
            <w:r w:rsidRPr="0062276D">
              <w:rPr>
                <w:sz w:val="20"/>
                <w:szCs w:val="20"/>
              </w:rPr>
              <w:t>Lock Account - SPS notify PI, Business Office and Department Head</w:t>
            </w:r>
          </w:p>
          <w:p w:rsidR="0036776A" w:rsidRPr="00596658" w:rsidRDefault="004A2F3E" w:rsidP="0036776A">
            <w:pPr>
              <w:pStyle w:val="ListParagraph"/>
              <w:numPr>
                <w:ilvl w:val="0"/>
                <w:numId w:val="2"/>
              </w:numPr>
              <w:ind w:left="216" w:hanging="216"/>
              <w:rPr>
                <w:sz w:val="20"/>
                <w:szCs w:val="20"/>
              </w:rPr>
            </w:pPr>
            <w:r w:rsidRPr="00596658">
              <w:rPr>
                <w:sz w:val="20"/>
                <w:szCs w:val="20"/>
              </w:rPr>
              <w:t>All Others – Third sponsor contact made via email with copy of invoice</w:t>
            </w:r>
            <w:r w:rsidR="00580520" w:rsidRPr="00596658">
              <w:rPr>
                <w:sz w:val="20"/>
                <w:szCs w:val="20"/>
              </w:rPr>
              <w:t xml:space="preserve"> - inform that </w:t>
            </w:r>
            <w:r w:rsidR="00C05310" w:rsidRPr="00596658">
              <w:rPr>
                <w:sz w:val="20"/>
                <w:szCs w:val="20"/>
              </w:rPr>
              <w:t>we may have to suspend work on this project and</w:t>
            </w:r>
            <w:r w:rsidR="007C4A34" w:rsidRPr="00596658">
              <w:rPr>
                <w:sz w:val="20"/>
                <w:szCs w:val="20"/>
              </w:rPr>
              <w:t xml:space="preserve"> turn the past due balance</w:t>
            </w:r>
            <w:r w:rsidR="00C05310" w:rsidRPr="00596658">
              <w:rPr>
                <w:sz w:val="20"/>
                <w:szCs w:val="20"/>
              </w:rPr>
              <w:t xml:space="preserve"> over to a collection agency and/or pursue legal action </w:t>
            </w:r>
            <w:r w:rsidRPr="00596658">
              <w:rPr>
                <w:sz w:val="20"/>
                <w:szCs w:val="20"/>
              </w:rPr>
              <w:t>- SPS notify PI</w:t>
            </w:r>
            <w:r w:rsidR="00242505" w:rsidRPr="00596658">
              <w:rPr>
                <w:sz w:val="20"/>
                <w:szCs w:val="20"/>
              </w:rPr>
              <w:t>, subcontractors</w:t>
            </w:r>
            <w:r w:rsidRPr="00596658">
              <w:rPr>
                <w:sz w:val="20"/>
                <w:szCs w:val="20"/>
              </w:rPr>
              <w:t xml:space="preserve"> </w:t>
            </w:r>
            <w:r w:rsidR="0036776A" w:rsidRPr="00596658">
              <w:rPr>
                <w:sz w:val="20"/>
                <w:szCs w:val="20"/>
              </w:rPr>
              <w:t xml:space="preserve">and </w:t>
            </w:r>
            <w:r w:rsidRPr="00596658">
              <w:rPr>
                <w:sz w:val="20"/>
                <w:szCs w:val="20"/>
              </w:rPr>
              <w:t>Business Office</w:t>
            </w:r>
            <w:r w:rsidR="0036776A" w:rsidRPr="00596658">
              <w:rPr>
                <w:sz w:val="20"/>
                <w:szCs w:val="20"/>
              </w:rPr>
              <w:t xml:space="preserve"> and seek PI assistance in contacting</w:t>
            </w:r>
            <w:r w:rsidR="00B436AE" w:rsidRPr="00596658">
              <w:rPr>
                <w:sz w:val="20"/>
                <w:szCs w:val="20"/>
              </w:rPr>
              <w:t xml:space="preserve"> the sponsor to obtain payment</w:t>
            </w:r>
          </w:p>
          <w:p w:rsidR="004A2F3E" w:rsidRPr="00596658" w:rsidRDefault="004A2F3E" w:rsidP="004A2F3E">
            <w:pPr>
              <w:pStyle w:val="ListParagraph"/>
              <w:numPr>
                <w:ilvl w:val="0"/>
                <w:numId w:val="2"/>
              </w:numPr>
              <w:ind w:left="216" w:hanging="216"/>
              <w:rPr>
                <w:sz w:val="20"/>
                <w:szCs w:val="20"/>
              </w:rPr>
            </w:pPr>
            <w:r w:rsidRPr="00596658">
              <w:rPr>
                <w:sz w:val="20"/>
                <w:szCs w:val="20"/>
              </w:rPr>
              <w:t>Research Specialist and RA Manager</w:t>
            </w:r>
            <w:r w:rsidR="00C05310" w:rsidRPr="00596658">
              <w:rPr>
                <w:sz w:val="20"/>
                <w:szCs w:val="20"/>
              </w:rPr>
              <w:t xml:space="preserve"> review status with the</w:t>
            </w:r>
            <w:r w:rsidR="00B436AE" w:rsidRPr="00596658">
              <w:rPr>
                <w:sz w:val="20"/>
                <w:szCs w:val="20"/>
              </w:rPr>
              <w:t xml:space="preserve"> Post Award Director </w:t>
            </w:r>
            <w:r w:rsidR="00C05310" w:rsidRPr="00596658">
              <w:rPr>
                <w:sz w:val="20"/>
                <w:szCs w:val="20"/>
              </w:rPr>
              <w:t>(&gt;120 days)</w:t>
            </w:r>
            <w:r w:rsidR="00B436AE" w:rsidRPr="00596658">
              <w:rPr>
                <w:sz w:val="20"/>
                <w:szCs w:val="20"/>
              </w:rPr>
              <w:t>and</w:t>
            </w:r>
            <w:r w:rsidR="00C05310" w:rsidRPr="00596658">
              <w:rPr>
                <w:sz w:val="20"/>
                <w:szCs w:val="20"/>
              </w:rPr>
              <w:t xml:space="preserve"> with the Senior Director at &gt;15</w:t>
            </w:r>
            <w:r w:rsidR="00B436AE" w:rsidRPr="00596658">
              <w:rPr>
                <w:sz w:val="20"/>
                <w:szCs w:val="20"/>
              </w:rPr>
              <w:t>0 days</w:t>
            </w:r>
          </w:p>
          <w:p w:rsidR="00C05310" w:rsidRPr="00596658" w:rsidRDefault="00C05310" w:rsidP="00C05310">
            <w:pPr>
              <w:pStyle w:val="ListParagraph"/>
              <w:numPr>
                <w:ilvl w:val="0"/>
                <w:numId w:val="2"/>
              </w:numPr>
              <w:ind w:left="216" w:hanging="216"/>
              <w:rPr>
                <w:sz w:val="20"/>
                <w:szCs w:val="20"/>
              </w:rPr>
            </w:pPr>
            <w:r w:rsidRPr="00596658">
              <w:rPr>
                <w:sz w:val="20"/>
                <w:szCs w:val="20"/>
              </w:rPr>
              <w:lastRenderedPageBreak/>
              <w:t xml:space="preserve">Senior Director and Director, Post Award will determine if the account </w:t>
            </w:r>
            <w:proofErr w:type="gramStart"/>
            <w:r w:rsidRPr="00596658">
              <w:rPr>
                <w:sz w:val="20"/>
                <w:szCs w:val="20"/>
              </w:rPr>
              <w:t>should be sent</w:t>
            </w:r>
            <w:proofErr w:type="gramEnd"/>
            <w:r w:rsidRPr="00596658">
              <w:rPr>
                <w:sz w:val="20"/>
                <w:szCs w:val="20"/>
              </w:rPr>
              <w:t xml:space="preserve"> to collections and activity suspended at 180 days.  If the recommendation is to suspend the activity, input will be requested from the PI and Department Head before proceeding</w:t>
            </w:r>
          </w:p>
          <w:p w:rsidR="00C3154E" w:rsidRPr="0062276D" w:rsidRDefault="00C3154E" w:rsidP="004A2F3E">
            <w:pPr>
              <w:pStyle w:val="ListParagraph"/>
              <w:numPr>
                <w:ilvl w:val="0"/>
                <w:numId w:val="2"/>
              </w:numPr>
              <w:ind w:left="216" w:hanging="216"/>
              <w:rPr>
                <w:sz w:val="20"/>
                <w:szCs w:val="20"/>
              </w:rPr>
            </w:pPr>
            <w:r w:rsidRPr="0062276D">
              <w:rPr>
                <w:sz w:val="20"/>
                <w:szCs w:val="20"/>
              </w:rPr>
              <w:t>SPS notify Chief Corporate and Global Affairs Officer</w:t>
            </w:r>
          </w:p>
          <w:p w:rsidR="004A2F3E" w:rsidRPr="0062276D" w:rsidRDefault="00CF4B47" w:rsidP="00CF4B47">
            <w:pPr>
              <w:pStyle w:val="ListParagraph"/>
              <w:numPr>
                <w:ilvl w:val="0"/>
                <w:numId w:val="2"/>
              </w:numPr>
              <w:ind w:left="216" w:hanging="216"/>
              <w:rPr>
                <w:sz w:val="20"/>
                <w:szCs w:val="20"/>
              </w:rPr>
            </w:pPr>
            <w:r w:rsidRPr="0062276D">
              <w:rPr>
                <w:sz w:val="20"/>
                <w:szCs w:val="20"/>
              </w:rPr>
              <w:t>Account added to the SPS write-off watch list</w:t>
            </w:r>
          </w:p>
        </w:tc>
        <w:tc>
          <w:tcPr>
            <w:tcW w:w="3330" w:type="dxa"/>
          </w:tcPr>
          <w:p w:rsidR="004A2F3E" w:rsidRPr="00795A6B" w:rsidRDefault="004A2F3E" w:rsidP="004A2F3E">
            <w:pPr>
              <w:pStyle w:val="ListParagraph"/>
              <w:numPr>
                <w:ilvl w:val="0"/>
                <w:numId w:val="2"/>
              </w:numPr>
              <w:ind w:left="216" w:hanging="216"/>
              <w:rPr>
                <w:sz w:val="20"/>
                <w:szCs w:val="20"/>
              </w:rPr>
            </w:pPr>
            <w:r w:rsidRPr="00795A6B">
              <w:rPr>
                <w:sz w:val="20"/>
                <w:szCs w:val="20"/>
              </w:rPr>
              <w:lastRenderedPageBreak/>
              <w:t>SPS notify PI</w:t>
            </w:r>
            <w:r w:rsidR="00987A49" w:rsidRPr="00795A6B">
              <w:rPr>
                <w:sz w:val="20"/>
                <w:szCs w:val="20"/>
              </w:rPr>
              <w:t>,</w:t>
            </w:r>
            <w:r w:rsidR="00C3154E" w:rsidRPr="00795A6B">
              <w:rPr>
                <w:sz w:val="20"/>
                <w:szCs w:val="20"/>
              </w:rPr>
              <w:t xml:space="preserve"> </w:t>
            </w:r>
            <w:r w:rsidRPr="00795A6B">
              <w:rPr>
                <w:sz w:val="20"/>
                <w:szCs w:val="20"/>
              </w:rPr>
              <w:t xml:space="preserve">Business </w:t>
            </w:r>
            <w:r w:rsidR="00C3154E" w:rsidRPr="00795A6B">
              <w:rPr>
                <w:sz w:val="20"/>
                <w:szCs w:val="20"/>
              </w:rPr>
              <w:t>Manager</w:t>
            </w:r>
            <w:r w:rsidR="00987A49" w:rsidRPr="00795A6B">
              <w:rPr>
                <w:sz w:val="20"/>
                <w:szCs w:val="20"/>
              </w:rPr>
              <w:t xml:space="preserve">, </w:t>
            </w:r>
            <w:proofErr w:type="gramStart"/>
            <w:r w:rsidR="00987A49" w:rsidRPr="00795A6B">
              <w:rPr>
                <w:sz w:val="20"/>
                <w:szCs w:val="20"/>
              </w:rPr>
              <w:t>DFA</w:t>
            </w:r>
            <w:proofErr w:type="gramEnd"/>
            <w:r w:rsidR="00987A49" w:rsidRPr="00795A6B">
              <w:rPr>
                <w:sz w:val="20"/>
                <w:szCs w:val="20"/>
              </w:rPr>
              <w:t>.</w:t>
            </w:r>
            <w:r w:rsidR="00C3154E" w:rsidRPr="00795A6B">
              <w:rPr>
                <w:sz w:val="20"/>
                <w:szCs w:val="20"/>
              </w:rPr>
              <w:t xml:space="preserve"> </w:t>
            </w:r>
          </w:p>
          <w:p w:rsidR="004A2F3E" w:rsidRPr="00795A6B" w:rsidRDefault="004A2F3E" w:rsidP="004A2F3E">
            <w:pPr>
              <w:pStyle w:val="ListParagraph"/>
              <w:numPr>
                <w:ilvl w:val="0"/>
                <w:numId w:val="2"/>
              </w:numPr>
              <w:ind w:left="216" w:hanging="216"/>
              <w:rPr>
                <w:sz w:val="20"/>
                <w:szCs w:val="20"/>
              </w:rPr>
            </w:pPr>
            <w:r w:rsidRPr="00795A6B">
              <w:rPr>
                <w:sz w:val="20"/>
                <w:szCs w:val="20"/>
              </w:rPr>
              <w:t xml:space="preserve">SPS separately request Business </w:t>
            </w:r>
            <w:r w:rsidR="00C3154E" w:rsidRPr="00795A6B">
              <w:rPr>
                <w:sz w:val="20"/>
                <w:szCs w:val="20"/>
              </w:rPr>
              <w:t xml:space="preserve">Manager </w:t>
            </w:r>
            <w:r w:rsidRPr="00795A6B">
              <w:rPr>
                <w:sz w:val="20"/>
                <w:szCs w:val="20"/>
              </w:rPr>
              <w:t>to ask the Department Head if he/she wants to take additional actions</w:t>
            </w:r>
            <w:r w:rsidR="00C3154E" w:rsidRPr="00795A6B">
              <w:rPr>
                <w:sz w:val="20"/>
                <w:szCs w:val="20"/>
              </w:rPr>
              <w:t xml:space="preserve"> and to forward the email trail for future documentation.</w:t>
            </w:r>
          </w:p>
          <w:p w:rsidR="00567236" w:rsidRPr="00795A6B" w:rsidRDefault="00567236" w:rsidP="004A2F3E">
            <w:pPr>
              <w:pStyle w:val="ListParagraph"/>
              <w:numPr>
                <w:ilvl w:val="0"/>
                <w:numId w:val="2"/>
              </w:numPr>
              <w:ind w:left="216" w:hanging="216"/>
              <w:rPr>
                <w:sz w:val="20"/>
                <w:szCs w:val="20"/>
              </w:rPr>
            </w:pPr>
            <w:r w:rsidRPr="00795A6B">
              <w:rPr>
                <w:sz w:val="20"/>
                <w:szCs w:val="20"/>
              </w:rPr>
              <w:t xml:space="preserve">Final technical reports should be submitted to the sponsor within 6 months of the due date.  If the report is not submitted within 6 months, the Department will be responsible for any payments that are tied to the final report until </w:t>
            </w:r>
            <w:r w:rsidRPr="00795A6B">
              <w:rPr>
                <w:sz w:val="20"/>
                <w:szCs w:val="20"/>
              </w:rPr>
              <w:lastRenderedPageBreak/>
              <w:t>such time that the report is complete.  The Department will be refunded this amount when the University receives final payment from the sponsor.</w:t>
            </w:r>
          </w:p>
          <w:p w:rsidR="004A2F3E" w:rsidRPr="00795A6B" w:rsidRDefault="004A2F3E" w:rsidP="004A2F3E">
            <w:pPr>
              <w:pStyle w:val="ListParagraph"/>
              <w:ind w:left="216"/>
              <w:rPr>
                <w:sz w:val="20"/>
                <w:szCs w:val="20"/>
              </w:rPr>
            </w:pPr>
          </w:p>
        </w:tc>
      </w:tr>
      <w:tr w:rsidR="004A2F3E" w:rsidRPr="00775F8D" w:rsidTr="00B436AE">
        <w:tc>
          <w:tcPr>
            <w:tcW w:w="1423" w:type="dxa"/>
          </w:tcPr>
          <w:p w:rsidR="004A2F3E" w:rsidRPr="00992208" w:rsidRDefault="004A2F3E" w:rsidP="004A2F3E">
            <w:pPr>
              <w:rPr>
                <w:b/>
                <w:sz w:val="24"/>
                <w:szCs w:val="24"/>
              </w:rPr>
            </w:pPr>
            <w:r w:rsidRPr="00992208">
              <w:rPr>
                <w:b/>
                <w:sz w:val="24"/>
                <w:szCs w:val="24"/>
              </w:rPr>
              <w:lastRenderedPageBreak/>
              <w:t>Over 180 Days</w:t>
            </w:r>
          </w:p>
        </w:tc>
        <w:tc>
          <w:tcPr>
            <w:tcW w:w="2712" w:type="dxa"/>
          </w:tcPr>
          <w:p w:rsidR="0036776A" w:rsidRDefault="0036776A" w:rsidP="0036776A">
            <w:pPr>
              <w:pStyle w:val="ListParagraph"/>
              <w:numPr>
                <w:ilvl w:val="0"/>
                <w:numId w:val="2"/>
              </w:numPr>
              <w:ind w:left="216" w:hanging="216"/>
              <w:rPr>
                <w:sz w:val="20"/>
                <w:szCs w:val="20"/>
              </w:rPr>
            </w:pPr>
            <w:r>
              <w:rPr>
                <w:sz w:val="20"/>
                <w:szCs w:val="20"/>
              </w:rPr>
              <w:t>Research Specialist</w:t>
            </w:r>
            <w:r w:rsidRPr="00992208">
              <w:rPr>
                <w:sz w:val="20"/>
                <w:szCs w:val="20"/>
              </w:rPr>
              <w:t xml:space="preserve"> </w:t>
            </w:r>
          </w:p>
          <w:p w:rsidR="0036776A" w:rsidRDefault="0036776A" w:rsidP="0036776A">
            <w:pPr>
              <w:pStyle w:val="ListParagraph"/>
              <w:numPr>
                <w:ilvl w:val="0"/>
                <w:numId w:val="2"/>
              </w:numPr>
              <w:ind w:left="216" w:hanging="216"/>
              <w:rPr>
                <w:sz w:val="20"/>
                <w:szCs w:val="20"/>
              </w:rPr>
            </w:pPr>
            <w:r>
              <w:rPr>
                <w:sz w:val="20"/>
                <w:szCs w:val="20"/>
              </w:rPr>
              <w:t>RA Manager</w:t>
            </w:r>
          </w:p>
          <w:p w:rsidR="0036776A" w:rsidRDefault="0036776A" w:rsidP="0036776A">
            <w:pPr>
              <w:pStyle w:val="ListParagraph"/>
              <w:numPr>
                <w:ilvl w:val="0"/>
                <w:numId w:val="2"/>
              </w:numPr>
              <w:ind w:left="216" w:hanging="216"/>
              <w:rPr>
                <w:sz w:val="20"/>
                <w:szCs w:val="20"/>
              </w:rPr>
            </w:pPr>
            <w:r w:rsidRPr="00992208">
              <w:rPr>
                <w:sz w:val="20"/>
                <w:szCs w:val="20"/>
              </w:rPr>
              <w:t>Post Award</w:t>
            </w:r>
            <w:r>
              <w:rPr>
                <w:sz w:val="20"/>
                <w:szCs w:val="20"/>
              </w:rPr>
              <w:t xml:space="preserve"> </w:t>
            </w:r>
            <w:r w:rsidRPr="00992208">
              <w:rPr>
                <w:sz w:val="20"/>
                <w:szCs w:val="20"/>
              </w:rPr>
              <w:t>Director</w:t>
            </w:r>
          </w:p>
          <w:p w:rsidR="0036776A" w:rsidRDefault="0036776A" w:rsidP="0036776A">
            <w:pPr>
              <w:pStyle w:val="ListParagraph"/>
              <w:numPr>
                <w:ilvl w:val="0"/>
                <w:numId w:val="2"/>
              </w:numPr>
              <w:ind w:left="216" w:hanging="216"/>
              <w:rPr>
                <w:sz w:val="20"/>
                <w:szCs w:val="20"/>
              </w:rPr>
            </w:pPr>
            <w:r>
              <w:rPr>
                <w:sz w:val="20"/>
                <w:szCs w:val="20"/>
              </w:rPr>
              <w:t>Senior Director</w:t>
            </w:r>
          </w:p>
          <w:p w:rsidR="004A2F3E" w:rsidRPr="0036776A" w:rsidRDefault="0036776A" w:rsidP="0036776A">
            <w:pPr>
              <w:pStyle w:val="ListParagraph"/>
              <w:numPr>
                <w:ilvl w:val="0"/>
                <w:numId w:val="2"/>
              </w:numPr>
              <w:ind w:left="216" w:hanging="216"/>
              <w:rPr>
                <w:sz w:val="20"/>
                <w:szCs w:val="20"/>
              </w:rPr>
            </w:pPr>
            <w:r>
              <w:rPr>
                <w:sz w:val="20"/>
                <w:szCs w:val="20"/>
              </w:rPr>
              <w:t>U</w:t>
            </w:r>
            <w:r w:rsidR="004A2F3E" w:rsidRPr="0036776A">
              <w:rPr>
                <w:sz w:val="20"/>
                <w:szCs w:val="20"/>
              </w:rPr>
              <w:t>RCO/Cash Manager</w:t>
            </w:r>
          </w:p>
        </w:tc>
        <w:tc>
          <w:tcPr>
            <w:tcW w:w="2709" w:type="dxa"/>
          </w:tcPr>
          <w:p w:rsidR="0036776A" w:rsidRDefault="0036776A" w:rsidP="0036776A">
            <w:pPr>
              <w:pStyle w:val="ListParagraph"/>
              <w:numPr>
                <w:ilvl w:val="0"/>
                <w:numId w:val="2"/>
              </w:numPr>
              <w:ind w:left="216" w:hanging="216"/>
              <w:rPr>
                <w:sz w:val="20"/>
                <w:szCs w:val="20"/>
              </w:rPr>
            </w:pPr>
            <w:r w:rsidRPr="00992208">
              <w:rPr>
                <w:sz w:val="20"/>
                <w:szCs w:val="20"/>
              </w:rPr>
              <w:t>Research Specialist</w:t>
            </w:r>
            <w:r>
              <w:rPr>
                <w:sz w:val="20"/>
                <w:szCs w:val="20"/>
              </w:rPr>
              <w:t xml:space="preserve"> </w:t>
            </w:r>
          </w:p>
          <w:p w:rsidR="0036776A" w:rsidRDefault="0036776A" w:rsidP="0036776A">
            <w:pPr>
              <w:pStyle w:val="ListParagraph"/>
              <w:numPr>
                <w:ilvl w:val="0"/>
                <w:numId w:val="2"/>
              </w:numPr>
              <w:ind w:left="216" w:hanging="216"/>
              <w:rPr>
                <w:sz w:val="20"/>
                <w:szCs w:val="20"/>
              </w:rPr>
            </w:pPr>
            <w:r>
              <w:rPr>
                <w:sz w:val="20"/>
                <w:szCs w:val="20"/>
              </w:rPr>
              <w:t>RA Manager</w:t>
            </w:r>
          </w:p>
          <w:p w:rsidR="0036776A" w:rsidRDefault="0036776A" w:rsidP="0036776A">
            <w:pPr>
              <w:pStyle w:val="ListParagraph"/>
              <w:numPr>
                <w:ilvl w:val="0"/>
                <w:numId w:val="2"/>
              </w:numPr>
              <w:ind w:left="216" w:hanging="216"/>
              <w:rPr>
                <w:sz w:val="20"/>
                <w:szCs w:val="20"/>
              </w:rPr>
            </w:pPr>
            <w:r w:rsidRPr="00992208">
              <w:rPr>
                <w:sz w:val="20"/>
                <w:szCs w:val="20"/>
              </w:rPr>
              <w:t>Post Award</w:t>
            </w:r>
            <w:r>
              <w:rPr>
                <w:sz w:val="20"/>
                <w:szCs w:val="20"/>
              </w:rPr>
              <w:t xml:space="preserve"> </w:t>
            </w:r>
            <w:r w:rsidRPr="00992208">
              <w:rPr>
                <w:sz w:val="20"/>
                <w:szCs w:val="20"/>
              </w:rPr>
              <w:t>Director</w:t>
            </w:r>
          </w:p>
          <w:p w:rsidR="0036776A" w:rsidRDefault="0036776A" w:rsidP="0036776A">
            <w:pPr>
              <w:pStyle w:val="ListParagraph"/>
              <w:numPr>
                <w:ilvl w:val="0"/>
                <w:numId w:val="2"/>
              </w:numPr>
              <w:ind w:left="216" w:hanging="216"/>
              <w:rPr>
                <w:sz w:val="20"/>
                <w:szCs w:val="20"/>
              </w:rPr>
            </w:pPr>
            <w:r>
              <w:rPr>
                <w:sz w:val="20"/>
                <w:szCs w:val="20"/>
              </w:rPr>
              <w:t>Senior Director</w:t>
            </w:r>
          </w:p>
          <w:p w:rsidR="004A2F3E" w:rsidRPr="00992208" w:rsidRDefault="004A2F3E" w:rsidP="004A2F3E">
            <w:pPr>
              <w:rPr>
                <w:sz w:val="20"/>
                <w:szCs w:val="20"/>
              </w:rPr>
            </w:pPr>
          </w:p>
        </w:tc>
        <w:tc>
          <w:tcPr>
            <w:tcW w:w="4034" w:type="dxa"/>
          </w:tcPr>
          <w:p w:rsidR="0036776A" w:rsidRPr="00596658" w:rsidRDefault="00B436AE" w:rsidP="004A2F3E">
            <w:pPr>
              <w:pStyle w:val="ListParagraph"/>
              <w:numPr>
                <w:ilvl w:val="0"/>
                <w:numId w:val="2"/>
              </w:numPr>
              <w:ind w:left="216" w:hanging="216"/>
              <w:rPr>
                <w:sz w:val="20"/>
                <w:szCs w:val="20"/>
              </w:rPr>
            </w:pPr>
            <w:r w:rsidRPr="00AC4A16">
              <w:rPr>
                <w:sz w:val="20"/>
                <w:szCs w:val="20"/>
              </w:rPr>
              <w:t xml:space="preserve">Upon approval of the Senior Director - </w:t>
            </w:r>
            <w:r w:rsidR="0036776A" w:rsidRPr="00AC4A16">
              <w:rPr>
                <w:sz w:val="20"/>
                <w:szCs w:val="20"/>
              </w:rPr>
              <w:t>Lock Account</w:t>
            </w:r>
            <w:r w:rsidR="00242505" w:rsidRPr="00AC4A16">
              <w:rPr>
                <w:sz w:val="20"/>
                <w:szCs w:val="20"/>
              </w:rPr>
              <w:t>, notify subcontractors</w:t>
            </w:r>
            <w:r w:rsidR="00CF4B47" w:rsidRPr="00AC4A16">
              <w:rPr>
                <w:sz w:val="20"/>
                <w:szCs w:val="20"/>
              </w:rPr>
              <w:t xml:space="preserve"> and send to collections*</w:t>
            </w:r>
            <w:r w:rsidR="002F17E1" w:rsidRPr="00AC4A16">
              <w:rPr>
                <w:sz w:val="20"/>
                <w:szCs w:val="20"/>
              </w:rPr>
              <w:t>*</w:t>
            </w:r>
            <w:r w:rsidR="0036776A" w:rsidRPr="00AC4A16">
              <w:rPr>
                <w:sz w:val="20"/>
                <w:szCs w:val="20"/>
              </w:rPr>
              <w:t xml:space="preserve"> - SPS notify PI, Business Office</w:t>
            </w:r>
            <w:r w:rsidR="00987A49" w:rsidRPr="00AC4A16">
              <w:rPr>
                <w:sz w:val="20"/>
                <w:szCs w:val="20"/>
              </w:rPr>
              <w:t>, DFA,</w:t>
            </w:r>
            <w:r w:rsidR="0036776A" w:rsidRPr="00AC4A16">
              <w:rPr>
                <w:sz w:val="20"/>
                <w:szCs w:val="20"/>
              </w:rPr>
              <w:t xml:space="preserve"> Department Head</w:t>
            </w:r>
            <w:r w:rsidR="00987A49" w:rsidRPr="00AC4A16">
              <w:rPr>
                <w:sz w:val="20"/>
                <w:szCs w:val="20"/>
              </w:rPr>
              <w:t xml:space="preserve"> and Director of </w:t>
            </w:r>
            <w:r w:rsidR="00987A49" w:rsidRPr="00596658">
              <w:rPr>
                <w:sz w:val="20"/>
                <w:szCs w:val="20"/>
              </w:rPr>
              <w:t>Business Managers.</w:t>
            </w:r>
          </w:p>
          <w:p w:rsidR="004A2F3E" w:rsidRPr="00596658" w:rsidRDefault="00C05310" w:rsidP="004A2F3E">
            <w:pPr>
              <w:pStyle w:val="ListParagraph"/>
              <w:numPr>
                <w:ilvl w:val="0"/>
                <w:numId w:val="2"/>
              </w:numPr>
              <w:ind w:left="216" w:hanging="216"/>
              <w:rPr>
                <w:sz w:val="20"/>
                <w:szCs w:val="20"/>
              </w:rPr>
            </w:pPr>
            <w:r w:rsidRPr="00596658">
              <w:rPr>
                <w:sz w:val="20"/>
                <w:szCs w:val="20"/>
              </w:rPr>
              <w:t>RA Manager</w:t>
            </w:r>
            <w:r w:rsidR="004A2F3E" w:rsidRPr="00596658">
              <w:rPr>
                <w:sz w:val="20"/>
                <w:szCs w:val="20"/>
              </w:rPr>
              <w:t xml:space="preserve"> will work with URCO and Cash Manager to determine</w:t>
            </w:r>
            <w:r w:rsidR="00B436AE" w:rsidRPr="00596658">
              <w:rPr>
                <w:sz w:val="20"/>
                <w:szCs w:val="20"/>
              </w:rPr>
              <w:t xml:space="preserve"> how account should be handled</w:t>
            </w:r>
          </w:p>
          <w:p w:rsidR="00B436AE" w:rsidRPr="0062276D" w:rsidRDefault="00B436AE" w:rsidP="004A2F3E">
            <w:pPr>
              <w:pStyle w:val="ListParagraph"/>
              <w:numPr>
                <w:ilvl w:val="0"/>
                <w:numId w:val="2"/>
              </w:numPr>
              <w:ind w:left="216" w:hanging="216"/>
              <w:rPr>
                <w:sz w:val="20"/>
                <w:szCs w:val="20"/>
              </w:rPr>
            </w:pPr>
            <w:r w:rsidRPr="00596658">
              <w:rPr>
                <w:sz w:val="20"/>
                <w:szCs w:val="20"/>
              </w:rPr>
              <w:t xml:space="preserve">Sponsor should be </w:t>
            </w:r>
            <w:r w:rsidRPr="0062276D">
              <w:rPr>
                <w:sz w:val="20"/>
                <w:szCs w:val="20"/>
              </w:rPr>
              <w:t>added to the HIGH RISK SPONSOR LIST</w:t>
            </w:r>
          </w:p>
          <w:p w:rsidR="004A2F3E" w:rsidRPr="0062276D" w:rsidRDefault="004A2F3E" w:rsidP="004A2F3E">
            <w:pPr>
              <w:rPr>
                <w:sz w:val="20"/>
                <w:szCs w:val="20"/>
              </w:rPr>
            </w:pPr>
          </w:p>
          <w:p w:rsidR="004A2F3E" w:rsidRPr="0062276D" w:rsidRDefault="004A2F3E" w:rsidP="004A2F3E">
            <w:pPr>
              <w:rPr>
                <w:sz w:val="20"/>
                <w:szCs w:val="20"/>
              </w:rPr>
            </w:pPr>
          </w:p>
        </w:tc>
        <w:tc>
          <w:tcPr>
            <w:tcW w:w="3330" w:type="dxa"/>
          </w:tcPr>
          <w:p w:rsidR="004A2F3E" w:rsidRPr="0062276D" w:rsidRDefault="00B436AE" w:rsidP="00B436AE">
            <w:pPr>
              <w:pStyle w:val="ListParagraph"/>
              <w:numPr>
                <w:ilvl w:val="0"/>
                <w:numId w:val="2"/>
              </w:numPr>
              <w:ind w:left="216" w:hanging="216"/>
              <w:rPr>
                <w:sz w:val="20"/>
                <w:szCs w:val="20"/>
              </w:rPr>
            </w:pPr>
            <w:r w:rsidRPr="0062276D">
              <w:rPr>
                <w:sz w:val="20"/>
                <w:szCs w:val="20"/>
              </w:rPr>
              <w:t xml:space="preserve">Upon approval of the Department Head - </w:t>
            </w:r>
            <w:r w:rsidR="004A2F3E" w:rsidRPr="0062276D">
              <w:rPr>
                <w:sz w:val="20"/>
                <w:szCs w:val="20"/>
              </w:rPr>
              <w:t xml:space="preserve">SPS will </w:t>
            </w:r>
            <w:r w:rsidRPr="0062276D">
              <w:rPr>
                <w:sz w:val="20"/>
                <w:szCs w:val="20"/>
              </w:rPr>
              <w:t>lock the account</w:t>
            </w:r>
            <w:r w:rsidR="004A2F3E" w:rsidRPr="0062276D">
              <w:rPr>
                <w:sz w:val="20"/>
                <w:szCs w:val="20"/>
              </w:rPr>
              <w:t xml:space="preserve"> </w:t>
            </w:r>
            <w:r w:rsidR="00242505" w:rsidRPr="0062276D">
              <w:rPr>
                <w:sz w:val="20"/>
                <w:szCs w:val="20"/>
              </w:rPr>
              <w:t>and inform the subcontractors</w:t>
            </w:r>
            <w:r w:rsidR="004A2F3E" w:rsidRPr="0062276D">
              <w:rPr>
                <w:sz w:val="20"/>
                <w:szCs w:val="20"/>
              </w:rPr>
              <w:t xml:space="preserve"> </w:t>
            </w:r>
          </w:p>
          <w:p w:rsidR="00B436AE" w:rsidRPr="0062276D" w:rsidRDefault="00B436AE" w:rsidP="00580520">
            <w:pPr>
              <w:pStyle w:val="ListParagraph"/>
              <w:ind w:left="216"/>
              <w:rPr>
                <w:sz w:val="20"/>
                <w:szCs w:val="20"/>
              </w:rPr>
            </w:pPr>
          </w:p>
          <w:p w:rsidR="004A2F3E" w:rsidRPr="0062276D" w:rsidRDefault="004A2F3E" w:rsidP="004A2F3E">
            <w:pPr>
              <w:rPr>
                <w:sz w:val="20"/>
                <w:szCs w:val="20"/>
              </w:rPr>
            </w:pPr>
          </w:p>
          <w:p w:rsidR="004A2F3E" w:rsidRPr="0062276D" w:rsidRDefault="004A2F3E" w:rsidP="004A2F3E">
            <w:pPr>
              <w:rPr>
                <w:sz w:val="20"/>
                <w:szCs w:val="20"/>
              </w:rPr>
            </w:pPr>
          </w:p>
        </w:tc>
      </w:tr>
      <w:tr w:rsidR="00B436AE" w:rsidRPr="00775F8D" w:rsidTr="00B436AE">
        <w:tc>
          <w:tcPr>
            <w:tcW w:w="1423" w:type="dxa"/>
          </w:tcPr>
          <w:p w:rsidR="00B436AE" w:rsidRPr="00992208" w:rsidRDefault="00B436AE" w:rsidP="004A2F3E">
            <w:pPr>
              <w:rPr>
                <w:b/>
                <w:sz w:val="24"/>
                <w:szCs w:val="24"/>
              </w:rPr>
            </w:pPr>
            <w:r>
              <w:rPr>
                <w:b/>
                <w:sz w:val="24"/>
                <w:szCs w:val="24"/>
              </w:rPr>
              <w:t>Annually</w:t>
            </w:r>
          </w:p>
        </w:tc>
        <w:tc>
          <w:tcPr>
            <w:tcW w:w="2712" w:type="dxa"/>
          </w:tcPr>
          <w:p w:rsidR="00B436AE" w:rsidRDefault="00B436AE" w:rsidP="00B436AE">
            <w:pPr>
              <w:pStyle w:val="ListParagraph"/>
              <w:numPr>
                <w:ilvl w:val="0"/>
                <w:numId w:val="2"/>
              </w:numPr>
              <w:ind w:left="216" w:hanging="216"/>
              <w:rPr>
                <w:sz w:val="20"/>
                <w:szCs w:val="20"/>
              </w:rPr>
            </w:pPr>
            <w:r>
              <w:rPr>
                <w:sz w:val="20"/>
                <w:szCs w:val="20"/>
              </w:rPr>
              <w:t>Research Specialist</w:t>
            </w:r>
            <w:r w:rsidRPr="00992208">
              <w:rPr>
                <w:sz w:val="20"/>
                <w:szCs w:val="20"/>
              </w:rPr>
              <w:t xml:space="preserve"> </w:t>
            </w:r>
          </w:p>
          <w:p w:rsidR="00B436AE" w:rsidRDefault="00B436AE" w:rsidP="00B436AE">
            <w:pPr>
              <w:pStyle w:val="ListParagraph"/>
              <w:numPr>
                <w:ilvl w:val="0"/>
                <w:numId w:val="2"/>
              </w:numPr>
              <w:ind w:left="216" w:hanging="216"/>
              <w:rPr>
                <w:sz w:val="20"/>
                <w:szCs w:val="20"/>
              </w:rPr>
            </w:pPr>
            <w:r>
              <w:rPr>
                <w:sz w:val="20"/>
                <w:szCs w:val="20"/>
              </w:rPr>
              <w:t>RA Manager</w:t>
            </w:r>
          </w:p>
          <w:p w:rsidR="00B436AE" w:rsidRDefault="00B436AE" w:rsidP="00B436AE">
            <w:pPr>
              <w:pStyle w:val="ListParagraph"/>
              <w:numPr>
                <w:ilvl w:val="0"/>
                <w:numId w:val="2"/>
              </w:numPr>
              <w:ind w:left="216" w:hanging="216"/>
              <w:rPr>
                <w:sz w:val="20"/>
                <w:szCs w:val="20"/>
              </w:rPr>
            </w:pPr>
            <w:r w:rsidRPr="00992208">
              <w:rPr>
                <w:sz w:val="20"/>
                <w:szCs w:val="20"/>
              </w:rPr>
              <w:t>Post Award</w:t>
            </w:r>
            <w:r>
              <w:rPr>
                <w:sz w:val="20"/>
                <w:szCs w:val="20"/>
              </w:rPr>
              <w:t xml:space="preserve"> </w:t>
            </w:r>
            <w:r w:rsidRPr="00992208">
              <w:rPr>
                <w:sz w:val="20"/>
                <w:szCs w:val="20"/>
              </w:rPr>
              <w:t>Director</w:t>
            </w:r>
          </w:p>
          <w:p w:rsidR="00B436AE" w:rsidRPr="00B436AE" w:rsidRDefault="00B436AE" w:rsidP="00B436AE">
            <w:pPr>
              <w:rPr>
                <w:sz w:val="20"/>
                <w:szCs w:val="20"/>
              </w:rPr>
            </w:pPr>
          </w:p>
        </w:tc>
        <w:tc>
          <w:tcPr>
            <w:tcW w:w="2709" w:type="dxa"/>
          </w:tcPr>
          <w:p w:rsidR="00B436AE" w:rsidRDefault="00B436AE" w:rsidP="00B436AE">
            <w:pPr>
              <w:pStyle w:val="ListParagraph"/>
              <w:numPr>
                <w:ilvl w:val="0"/>
                <w:numId w:val="2"/>
              </w:numPr>
              <w:ind w:left="216" w:hanging="216"/>
              <w:rPr>
                <w:sz w:val="20"/>
                <w:szCs w:val="20"/>
              </w:rPr>
            </w:pPr>
            <w:r>
              <w:rPr>
                <w:sz w:val="20"/>
                <w:szCs w:val="20"/>
              </w:rPr>
              <w:t>Research Specialist</w:t>
            </w:r>
            <w:r w:rsidRPr="00992208">
              <w:rPr>
                <w:sz w:val="20"/>
                <w:szCs w:val="20"/>
              </w:rPr>
              <w:t xml:space="preserve"> </w:t>
            </w:r>
          </w:p>
          <w:p w:rsidR="00B436AE" w:rsidRDefault="00B436AE" w:rsidP="00B436AE">
            <w:pPr>
              <w:pStyle w:val="ListParagraph"/>
              <w:numPr>
                <w:ilvl w:val="0"/>
                <w:numId w:val="2"/>
              </w:numPr>
              <w:ind w:left="216" w:hanging="216"/>
              <w:rPr>
                <w:sz w:val="20"/>
                <w:szCs w:val="20"/>
              </w:rPr>
            </w:pPr>
            <w:r>
              <w:rPr>
                <w:sz w:val="20"/>
                <w:szCs w:val="20"/>
              </w:rPr>
              <w:t>RA Manager</w:t>
            </w:r>
          </w:p>
          <w:p w:rsidR="00B436AE" w:rsidRDefault="00B436AE" w:rsidP="00B436AE">
            <w:pPr>
              <w:pStyle w:val="ListParagraph"/>
              <w:numPr>
                <w:ilvl w:val="0"/>
                <w:numId w:val="2"/>
              </w:numPr>
              <w:ind w:left="216" w:hanging="216"/>
              <w:rPr>
                <w:sz w:val="20"/>
                <w:szCs w:val="20"/>
              </w:rPr>
            </w:pPr>
            <w:r w:rsidRPr="00992208">
              <w:rPr>
                <w:sz w:val="20"/>
                <w:szCs w:val="20"/>
              </w:rPr>
              <w:t>Post Award</w:t>
            </w:r>
            <w:r>
              <w:rPr>
                <w:sz w:val="20"/>
                <w:szCs w:val="20"/>
              </w:rPr>
              <w:t xml:space="preserve"> </w:t>
            </w:r>
            <w:r w:rsidRPr="00992208">
              <w:rPr>
                <w:sz w:val="20"/>
                <w:szCs w:val="20"/>
              </w:rPr>
              <w:t>Director</w:t>
            </w:r>
          </w:p>
          <w:p w:rsidR="00B436AE" w:rsidRPr="00992208" w:rsidRDefault="00B436AE" w:rsidP="00B436AE">
            <w:pPr>
              <w:pStyle w:val="ListParagraph"/>
              <w:ind w:left="216"/>
              <w:rPr>
                <w:sz w:val="20"/>
                <w:szCs w:val="20"/>
              </w:rPr>
            </w:pPr>
          </w:p>
        </w:tc>
        <w:tc>
          <w:tcPr>
            <w:tcW w:w="4034" w:type="dxa"/>
          </w:tcPr>
          <w:p w:rsidR="00B436AE" w:rsidRDefault="00B436AE" w:rsidP="004A2F3E">
            <w:pPr>
              <w:pStyle w:val="ListParagraph"/>
              <w:numPr>
                <w:ilvl w:val="0"/>
                <w:numId w:val="2"/>
              </w:numPr>
              <w:ind w:left="216" w:hanging="216"/>
              <w:rPr>
                <w:sz w:val="20"/>
                <w:szCs w:val="20"/>
              </w:rPr>
            </w:pPr>
            <w:r>
              <w:rPr>
                <w:sz w:val="20"/>
                <w:szCs w:val="20"/>
              </w:rPr>
              <w:t>Review HIGH RISK SPONSOR LIST</w:t>
            </w:r>
            <w:r w:rsidR="00CF4B47">
              <w:rPr>
                <w:sz w:val="20"/>
                <w:szCs w:val="20"/>
              </w:rPr>
              <w:t xml:space="preserve"> for additions or deletions</w:t>
            </w:r>
          </w:p>
        </w:tc>
        <w:tc>
          <w:tcPr>
            <w:tcW w:w="3330" w:type="dxa"/>
          </w:tcPr>
          <w:p w:rsidR="00B436AE" w:rsidRDefault="00B436AE" w:rsidP="00B436AE">
            <w:pPr>
              <w:pStyle w:val="ListParagraph"/>
              <w:ind w:left="216"/>
              <w:rPr>
                <w:sz w:val="20"/>
                <w:szCs w:val="20"/>
              </w:rPr>
            </w:pPr>
          </w:p>
        </w:tc>
      </w:tr>
    </w:tbl>
    <w:p w:rsidR="0056380B" w:rsidRPr="002F17E1" w:rsidRDefault="002F17E1">
      <w:pPr>
        <w:rPr>
          <w:i/>
          <w:sz w:val="20"/>
          <w:szCs w:val="20"/>
        </w:rPr>
      </w:pPr>
      <w:r w:rsidRPr="002F17E1">
        <w:rPr>
          <w:i/>
          <w:sz w:val="20"/>
          <w:szCs w:val="20"/>
        </w:rPr>
        <w:t>*</w:t>
      </w:r>
      <w:r w:rsidR="0056380B" w:rsidRPr="002F17E1">
        <w:rPr>
          <w:i/>
          <w:sz w:val="20"/>
          <w:szCs w:val="20"/>
        </w:rPr>
        <w:t>Based on response and situation, contact or follow-up will be made by phone.</w:t>
      </w:r>
    </w:p>
    <w:p w:rsidR="002F17E1" w:rsidRDefault="002F17E1" w:rsidP="002F17E1">
      <w:pPr>
        <w:rPr>
          <w:sz w:val="20"/>
          <w:szCs w:val="20"/>
        </w:rPr>
      </w:pPr>
      <w:proofErr w:type="gramStart"/>
      <w:r w:rsidRPr="00992208">
        <w:rPr>
          <w:sz w:val="20"/>
          <w:szCs w:val="20"/>
        </w:rPr>
        <w:t>*</w:t>
      </w:r>
      <w:r>
        <w:rPr>
          <w:sz w:val="20"/>
          <w:szCs w:val="20"/>
        </w:rPr>
        <w:t>*</w:t>
      </w:r>
      <w:r w:rsidRPr="00992208">
        <w:rPr>
          <w:sz w:val="20"/>
          <w:szCs w:val="20"/>
        </w:rPr>
        <w:t>Please</w:t>
      </w:r>
      <w:proofErr w:type="gramEnd"/>
      <w:r w:rsidRPr="00992208">
        <w:rPr>
          <w:sz w:val="20"/>
          <w:szCs w:val="20"/>
        </w:rPr>
        <w:t xml:space="preserve"> see </w:t>
      </w:r>
      <w:r w:rsidRPr="00992208">
        <w:rPr>
          <w:i/>
          <w:sz w:val="20"/>
          <w:szCs w:val="20"/>
        </w:rPr>
        <w:t xml:space="preserve">Responsibility for the Collection of Sponsored Funds </w:t>
      </w:r>
      <w:r w:rsidRPr="00992208">
        <w:rPr>
          <w:sz w:val="20"/>
          <w:szCs w:val="20"/>
        </w:rPr>
        <w:t xml:space="preserve">document for additional details. </w:t>
      </w:r>
    </w:p>
    <w:p w:rsidR="00735E53" w:rsidRDefault="00735E53" w:rsidP="002F17E1">
      <w:pPr>
        <w:rPr>
          <w:sz w:val="20"/>
          <w:szCs w:val="20"/>
        </w:rPr>
      </w:pPr>
    </w:p>
    <w:p w:rsidR="00735E53" w:rsidRDefault="00735E53" w:rsidP="002F17E1">
      <w:pPr>
        <w:rPr>
          <w:sz w:val="20"/>
          <w:szCs w:val="20"/>
        </w:rPr>
      </w:pPr>
    </w:p>
    <w:p w:rsidR="00735E53" w:rsidRDefault="00735E53" w:rsidP="002F17E1">
      <w:pPr>
        <w:rPr>
          <w:sz w:val="20"/>
          <w:szCs w:val="20"/>
        </w:rPr>
      </w:pPr>
    </w:p>
    <w:p w:rsidR="00735E53" w:rsidRDefault="00735E53" w:rsidP="002F17E1">
      <w:pPr>
        <w:rPr>
          <w:sz w:val="20"/>
          <w:szCs w:val="20"/>
        </w:rPr>
      </w:pPr>
    </w:p>
    <w:p w:rsidR="00735E53" w:rsidRDefault="00735E53" w:rsidP="002F17E1">
      <w:pPr>
        <w:rPr>
          <w:sz w:val="20"/>
          <w:szCs w:val="20"/>
        </w:rPr>
      </w:pPr>
    </w:p>
    <w:p w:rsidR="00735E53" w:rsidRDefault="00735E53" w:rsidP="002F17E1">
      <w:pPr>
        <w:rPr>
          <w:sz w:val="20"/>
          <w:szCs w:val="20"/>
        </w:rPr>
      </w:pPr>
    </w:p>
    <w:p w:rsidR="00735E53" w:rsidRDefault="00735E53" w:rsidP="002F17E1">
      <w:pPr>
        <w:rPr>
          <w:sz w:val="20"/>
          <w:szCs w:val="20"/>
        </w:rPr>
      </w:pPr>
    </w:p>
    <w:p w:rsidR="00735E53" w:rsidRDefault="00735E53" w:rsidP="002F17E1">
      <w:pPr>
        <w:rPr>
          <w:sz w:val="20"/>
          <w:szCs w:val="20"/>
        </w:rPr>
      </w:pPr>
    </w:p>
    <w:p w:rsidR="00735E53" w:rsidRDefault="00735E53" w:rsidP="00735E53">
      <w:pPr>
        <w:rPr>
          <w:b/>
        </w:rPr>
      </w:pPr>
      <w:r>
        <w:rPr>
          <w:b/>
        </w:rPr>
        <w:lastRenderedPageBreak/>
        <w:t>Process for uncollectible sponsored program accounts</w:t>
      </w:r>
    </w:p>
    <w:p w:rsidR="00735E53" w:rsidRDefault="00735E53" w:rsidP="00735E53">
      <w:pPr>
        <w:spacing w:after="0"/>
        <w:rPr>
          <w:spacing w:val="-13"/>
        </w:rPr>
      </w:pPr>
      <w:r w:rsidRPr="00276479">
        <w:rPr>
          <w:spacing w:val="-3"/>
        </w:rPr>
        <w:t>In</w:t>
      </w:r>
      <w:r w:rsidRPr="00276479">
        <w:rPr>
          <w:spacing w:val="-10"/>
        </w:rPr>
        <w:t xml:space="preserve"> </w:t>
      </w:r>
      <w:r w:rsidRPr="00276479">
        <w:t>accordance</w:t>
      </w:r>
      <w:r w:rsidRPr="00276479">
        <w:rPr>
          <w:spacing w:val="-22"/>
        </w:rPr>
        <w:t xml:space="preserve"> </w:t>
      </w:r>
      <w:r w:rsidRPr="00276479">
        <w:rPr>
          <w:spacing w:val="1"/>
        </w:rPr>
        <w:t>with</w:t>
      </w:r>
      <w:r w:rsidRPr="00276479">
        <w:rPr>
          <w:spacing w:val="-12"/>
        </w:rPr>
        <w:t xml:space="preserve"> </w:t>
      </w:r>
      <w:r w:rsidRPr="00276479">
        <w:t>the</w:t>
      </w:r>
      <w:r w:rsidRPr="00276479">
        <w:rPr>
          <w:spacing w:val="-12"/>
        </w:rPr>
        <w:t xml:space="preserve"> </w:t>
      </w:r>
      <w:r w:rsidRPr="00276479">
        <w:t>University’s</w:t>
      </w:r>
      <w:r w:rsidRPr="00276479">
        <w:rPr>
          <w:spacing w:val="-21"/>
        </w:rPr>
        <w:t xml:space="preserve"> </w:t>
      </w:r>
      <w:r w:rsidRPr="00276479">
        <w:t>Accounts</w:t>
      </w:r>
      <w:r w:rsidRPr="00276479">
        <w:rPr>
          <w:spacing w:val="-20"/>
        </w:rPr>
        <w:t xml:space="preserve"> </w:t>
      </w:r>
      <w:r w:rsidRPr="00276479">
        <w:rPr>
          <w:spacing w:val="1"/>
        </w:rPr>
        <w:t>Receivable</w:t>
      </w:r>
      <w:r w:rsidRPr="00276479">
        <w:rPr>
          <w:spacing w:val="-22"/>
        </w:rPr>
        <w:t xml:space="preserve"> </w:t>
      </w:r>
      <w:r w:rsidRPr="00276479">
        <w:t>Write-off</w:t>
      </w:r>
      <w:r w:rsidRPr="00276479">
        <w:rPr>
          <w:spacing w:val="-17"/>
        </w:rPr>
        <w:t xml:space="preserve"> </w:t>
      </w:r>
      <w:r w:rsidRPr="00276479">
        <w:t>Policy</w:t>
      </w:r>
      <w:r w:rsidRPr="00276479">
        <w:rPr>
          <w:spacing w:val="-17"/>
        </w:rPr>
        <w:t xml:space="preserve"> </w:t>
      </w:r>
      <w:r w:rsidRPr="00276479">
        <w:rPr>
          <w:spacing w:val="-1"/>
        </w:rPr>
        <w:t>dated</w:t>
      </w:r>
      <w:r w:rsidRPr="00276479">
        <w:rPr>
          <w:spacing w:val="64"/>
          <w:w w:val="99"/>
        </w:rPr>
        <w:t xml:space="preserve"> </w:t>
      </w:r>
      <w:r w:rsidRPr="00276479">
        <w:t>October</w:t>
      </w:r>
      <w:r w:rsidRPr="00276479">
        <w:rPr>
          <w:spacing w:val="-16"/>
        </w:rPr>
        <w:t xml:space="preserve"> </w:t>
      </w:r>
      <w:r w:rsidRPr="00276479">
        <w:t>18,</w:t>
      </w:r>
      <w:r w:rsidRPr="00276479">
        <w:rPr>
          <w:spacing w:val="-11"/>
        </w:rPr>
        <w:t xml:space="preserve"> </w:t>
      </w:r>
      <w:r w:rsidRPr="00276479">
        <w:rPr>
          <w:spacing w:val="1"/>
        </w:rPr>
        <w:t>1999,</w:t>
      </w:r>
      <w:r w:rsidRPr="00276479">
        <w:rPr>
          <w:spacing w:val="-13"/>
        </w:rPr>
        <w:t xml:space="preserve"> </w:t>
      </w:r>
      <w:r w:rsidRPr="00276479">
        <w:rPr>
          <w:spacing w:val="1"/>
        </w:rPr>
        <w:t>all</w:t>
      </w:r>
      <w:r w:rsidRPr="00276479">
        <w:rPr>
          <w:spacing w:val="-4"/>
        </w:rPr>
        <w:t xml:space="preserve"> </w:t>
      </w:r>
      <w:r w:rsidRPr="00276479">
        <w:rPr>
          <w:spacing w:val="-1"/>
        </w:rPr>
        <w:t>sponsored</w:t>
      </w:r>
      <w:r w:rsidRPr="00276479">
        <w:rPr>
          <w:spacing w:val="-16"/>
        </w:rPr>
        <w:t xml:space="preserve"> </w:t>
      </w:r>
      <w:r w:rsidRPr="00276479">
        <w:t>program</w:t>
      </w:r>
      <w:r w:rsidRPr="00276479">
        <w:rPr>
          <w:spacing w:val="-10"/>
        </w:rPr>
        <w:t xml:space="preserve"> </w:t>
      </w:r>
      <w:r w:rsidRPr="00276479">
        <w:t>grants</w:t>
      </w:r>
      <w:r w:rsidRPr="00276479">
        <w:rPr>
          <w:spacing w:val="-10"/>
        </w:rPr>
        <w:t xml:space="preserve"> </w:t>
      </w:r>
      <w:r w:rsidRPr="00276479">
        <w:t>that</w:t>
      </w:r>
      <w:r w:rsidRPr="00276479">
        <w:rPr>
          <w:spacing w:val="-11"/>
        </w:rPr>
        <w:t xml:space="preserve"> </w:t>
      </w:r>
      <w:proofErr w:type="gramStart"/>
      <w:r w:rsidRPr="00276479">
        <w:t>have</w:t>
      </w:r>
      <w:r w:rsidRPr="00276479">
        <w:rPr>
          <w:spacing w:val="-13"/>
        </w:rPr>
        <w:t xml:space="preserve"> </w:t>
      </w:r>
      <w:r w:rsidRPr="00276479">
        <w:t>been</w:t>
      </w:r>
      <w:r w:rsidRPr="00276479">
        <w:rPr>
          <w:spacing w:val="-10"/>
        </w:rPr>
        <w:t xml:space="preserve"> </w:t>
      </w:r>
      <w:r w:rsidRPr="00276479">
        <w:rPr>
          <w:spacing w:val="-1"/>
        </w:rPr>
        <w:t>expired</w:t>
      </w:r>
      <w:proofErr w:type="gramEnd"/>
      <w:r w:rsidRPr="00276479">
        <w:rPr>
          <w:spacing w:val="-9"/>
        </w:rPr>
        <w:t xml:space="preserve"> </w:t>
      </w:r>
      <w:r w:rsidRPr="00276479">
        <w:rPr>
          <w:spacing w:val="-1"/>
        </w:rPr>
        <w:t>for</w:t>
      </w:r>
      <w:r w:rsidRPr="00276479">
        <w:rPr>
          <w:spacing w:val="38"/>
          <w:w w:val="99"/>
        </w:rPr>
        <w:t xml:space="preserve"> </w:t>
      </w:r>
      <w:r w:rsidRPr="00276479">
        <w:t>two</w:t>
      </w:r>
      <w:r w:rsidRPr="00276479">
        <w:rPr>
          <w:spacing w:val="-12"/>
        </w:rPr>
        <w:t xml:space="preserve"> </w:t>
      </w:r>
      <w:r w:rsidRPr="00276479">
        <w:t>years</w:t>
      </w:r>
      <w:r w:rsidRPr="00276479">
        <w:rPr>
          <w:spacing w:val="-13"/>
        </w:rPr>
        <w:t xml:space="preserve"> </w:t>
      </w:r>
      <w:r w:rsidRPr="00276479">
        <w:rPr>
          <w:spacing w:val="1"/>
        </w:rPr>
        <w:t>with</w:t>
      </w:r>
      <w:r w:rsidRPr="00276479">
        <w:rPr>
          <w:spacing w:val="-9"/>
        </w:rPr>
        <w:t xml:space="preserve"> </w:t>
      </w:r>
      <w:r w:rsidRPr="00276479">
        <w:t>delinquent</w:t>
      </w:r>
      <w:r w:rsidRPr="00276479">
        <w:rPr>
          <w:spacing w:val="-19"/>
        </w:rPr>
        <w:t xml:space="preserve"> </w:t>
      </w:r>
      <w:r w:rsidRPr="00276479">
        <w:rPr>
          <w:spacing w:val="-1"/>
        </w:rPr>
        <w:t>account</w:t>
      </w:r>
      <w:r w:rsidRPr="00276479">
        <w:rPr>
          <w:spacing w:val="-11"/>
        </w:rPr>
        <w:t xml:space="preserve"> </w:t>
      </w:r>
      <w:r w:rsidRPr="00276479">
        <w:t>receivables</w:t>
      </w:r>
      <w:r w:rsidRPr="00276479">
        <w:rPr>
          <w:spacing w:val="-15"/>
        </w:rPr>
        <w:t xml:space="preserve"> </w:t>
      </w:r>
      <w:r w:rsidRPr="00276479">
        <w:t>will</w:t>
      </w:r>
      <w:r w:rsidRPr="00276479">
        <w:rPr>
          <w:spacing w:val="-5"/>
        </w:rPr>
        <w:t xml:space="preserve"> </w:t>
      </w:r>
      <w:r w:rsidRPr="00276479">
        <w:t>be</w:t>
      </w:r>
      <w:r w:rsidRPr="00276479">
        <w:rPr>
          <w:spacing w:val="-13"/>
        </w:rPr>
        <w:t xml:space="preserve"> </w:t>
      </w:r>
      <w:r>
        <w:rPr>
          <w:spacing w:val="-13"/>
        </w:rPr>
        <w:t xml:space="preserve">deemed uncollectible and subject to write-off.  Uncollectable balances </w:t>
      </w:r>
      <w:proofErr w:type="gramStart"/>
      <w:r>
        <w:rPr>
          <w:spacing w:val="-13"/>
        </w:rPr>
        <w:t>will be classified</w:t>
      </w:r>
      <w:proofErr w:type="gramEnd"/>
      <w:r>
        <w:rPr>
          <w:spacing w:val="-13"/>
        </w:rPr>
        <w:t xml:space="preserve"> in one of three categories: </w:t>
      </w:r>
    </w:p>
    <w:p w:rsidR="00735E53" w:rsidRDefault="00735E53" w:rsidP="00735E53">
      <w:pPr>
        <w:spacing w:after="0"/>
      </w:pPr>
    </w:p>
    <w:p w:rsidR="00735E53" w:rsidRDefault="00735E53" w:rsidP="00735E53">
      <w:pPr>
        <w:pStyle w:val="ListParagraph"/>
        <w:numPr>
          <w:ilvl w:val="0"/>
          <w:numId w:val="5"/>
        </w:numPr>
        <w:spacing w:after="200" w:line="276" w:lineRule="auto"/>
      </w:pPr>
      <w:r w:rsidRPr="000A1E73">
        <w:rPr>
          <w:b/>
        </w:rPr>
        <w:t xml:space="preserve">Administrative </w:t>
      </w:r>
      <w:r>
        <w:rPr>
          <w:b/>
        </w:rPr>
        <w:t xml:space="preserve">Write-offs - </w:t>
      </w:r>
      <w:r w:rsidRPr="00444690">
        <w:t xml:space="preserve">Failures to Perform, Administrative Error and Failures to Bill will all represent administrative </w:t>
      </w:r>
      <w:r>
        <w:t xml:space="preserve">write-offs.  </w:t>
      </w:r>
      <w:r w:rsidRPr="00A16081">
        <w:t xml:space="preserve">Administrative write-offs </w:t>
      </w:r>
      <w:r w:rsidRPr="00A16081">
        <w:rPr>
          <w:i/>
          <w:u w:val="single"/>
        </w:rPr>
        <w:t>do not</w:t>
      </w:r>
      <w:r w:rsidRPr="00A16081">
        <w:t xml:space="preserve"> cover cases of failure to perform or failure to provide deliverables on a timely basis. </w:t>
      </w:r>
      <w:r>
        <w:t>(see Administrative Write-off’s Process Doc)</w:t>
      </w:r>
    </w:p>
    <w:p w:rsidR="00735E53" w:rsidRPr="00444690" w:rsidRDefault="00735E53" w:rsidP="00735E53">
      <w:pPr>
        <w:pStyle w:val="ListParagraph"/>
        <w:numPr>
          <w:ilvl w:val="0"/>
          <w:numId w:val="4"/>
        </w:numPr>
        <w:spacing w:after="200" w:line="276" w:lineRule="auto"/>
        <w:ind w:left="1800"/>
        <w:rPr>
          <w:b/>
        </w:rPr>
      </w:pPr>
      <w:r w:rsidRPr="00444690">
        <w:rPr>
          <w:b/>
        </w:rPr>
        <w:t xml:space="preserve">Failure to Perform </w:t>
      </w:r>
      <w:r w:rsidRPr="00183669">
        <w:t xml:space="preserve">– </w:t>
      </w:r>
      <w:r>
        <w:t xml:space="preserve">In </w:t>
      </w:r>
      <w:r w:rsidRPr="00183669">
        <w:t>situations where the PI fails to provide required deliverables</w:t>
      </w:r>
      <w:r w:rsidRPr="00444690">
        <w:rPr>
          <w:b/>
        </w:rPr>
        <w:t xml:space="preserve"> </w:t>
      </w:r>
      <w:r>
        <w:t>on a timely basis responsibility of the debt lies with the Academic Department.</w:t>
      </w:r>
    </w:p>
    <w:p w:rsidR="00735E53" w:rsidRPr="00183669" w:rsidRDefault="00735E53" w:rsidP="00735E53">
      <w:pPr>
        <w:pStyle w:val="ListParagraph"/>
        <w:numPr>
          <w:ilvl w:val="0"/>
          <w:numId w:val="4"/>
        </w:numPr>
        <w:spacing w:after="200" w:line="276" w:lineRule="auto"/>
        <w:ind w:left="1800"/>
        <w:rPr>
          <w:b/>
        </w:rPr>
      </w:pPr>
      <w:r>
        <w:rPr>
          <w:b/>
        </w:rPr>
        <w:t>Administrative Error</w:t>
      </w:r>
      <w:r>
        <w:t xml:space="preserve"> – When inaccurate budgeting or system derived issues results in the debt, the debt will be evaluated on a </w:t>
      </w:r>
      <w:proofErr w:type="gramStart"/>
      <w:r>
        <w:t>case by case</w:t>
      </w:r>
      <w:proofErr w:type="gramEnd"/>
      <w:r>
        <w:t xml:space="preserve"> basis to determine if responsibility lies with Central Administration, the Department, or should be shared between both parties. </w:t>
      </w:r>
    </w:p>
    <w:p w:rsidR="00735E53" w:rsidRPr="00444690" w:rsidRDefault="00735E53" w:rsidP="00735E53">
      <w:pPr>
        <w:pStyle w:val="ListParagraph"/>
        <w:numPr>
          <w:ilvl w:val="0"/>
          <w:numId w:val="4"/>
        </w:numPr>
        <w:spacing w:after="200" w:line="276" w:lineRule="auto"/>
        <w:ind w:left="1800"/>
        <w:rPr>
          <w:b/>
        </w:rPr>
      </w:pPr>
      <w:r>
        <w:rPr>
          <w:b/>
        </w:rPr>
        <w:t xml:space="preserve">Failure to Bill - </w:t>
      </w:r>
      <w:r>
        <w:t>In the event that Sponsored Program Services fails to bill a sponsor, or fails to bill in a timely manner, Central Administration will cover the unfunded costs.</w:t>
      </w:r>
    </w:p>
    <w:p w:rsidR="00735E53" w:rsidRDefault="00735E53" w:rsidP="00735E53">
      <w:pPr>
        <w:pStyle w:val="ListParagraph"/>
        <w:ind w:left="1080"/>
      </w:pPr>
    </w:p>
    <w:p w:rsidR="00735E53" w:rsidRDefault="00735E53" w:rsidP="00735E53">
      <w:pPr>
        <w:pStyle w:val="ListParagraph"/>
        <w:ind w:left="1080"/>
      </w:pPr>
      <w:r>
        <w:t xml:space="preserve">Administrative errors </w:t>
      </w:r>
      <w:proofErr w:type="gramStart"/>
      <w:r>
        <w:t>are typically funded</w:t>
      </w:r>
      <w:proofErr w:type="gramEnd"/>
      <w:r>
        <w:t xml:space="preserve"> through Central Administration resources, Departmental resources, or a combination of Central Administration and Departmental resources.  Regardless of the source of funds used, treatment of these unfunded costs </w:t>
      </w:r>
      <w:proofErr w:type="gramStart"/>
      <w:r>
        <w:t>will be recorded</w:t>
      </w:r>
      <w:proofErr w:type="gramEnd"/>
      <w:r>
        <w:t xml:space="preserve"> as </w:t>
      </w:r>
      <w:r w:rsidRPr="00EC3F51">
        <w:rPr>
          <w:b/>
          <w:i/>
        </w:rPr>
        <w:t>cost sharing</w:t>
      </w:r>
      <w:r>
        <w:t>.  There will not be an entry recording bad debt expense.</w:t>
      </w:r>
    </w:p>
    <w:p w:rsidR="00735E53" w:rsidRDefault="00735E53" w:rsidP="00735E53">
      <w:pPr>
        <w:pStyle w:val="ListParagraph"/>
        <w:ind w:left="1080"/>
        <w:rPr>
          <w:b/>
        </w:rPr>
      </w:pPr>
    </w:p>
    <w:p w:rsidR="00735E53" w:rsidRDefault="00735E53" w:rsidP="00735E53">
      <w:pPr>
        <w:pStyle w:val="ListParagraph"/>
        <w:ind w:left="1080"/>
      </w:pPr>
      <w:r w:rsidRPr="00444690">
        <w:t xml:space="preserve">Administrative Write-Offs </w:t>
      </w:r>
      <w:proofErr w:type="gramStart"/>
      <w:r w:rsidRPr="00444690">
        <w:t>will be identified by Post Award Staff (including the Ag Field Office) and forwarded to the Director</w:t>
      </w:r>
      <w:r>
        <w:t xml:space="preserve"> of Post Award</w:t>
      </w:r>
      <w:proofErr w:type="gramEnd"/>
      <w:r>
        <w:t xml:space="preserve">.  While identification of these errors should be brought forward as they are identified, the Director of Post Award will request them twice annually for submission to the Senior Director of SPS.  Administrative Write-Offs </w:t>
      </w:r>
      <w:proofErr w:type="gramStart"/>
      <w:r>
        <w:t>are then forwarded</w:t>
      </w:r>
      <w:proofErr w:type="gramEnd"/>
      <w:r>
        <w:t xml:space="preserve"> to the Senior Vice President and Assistant Treasurer for approval.</w:t>
      </w:r>
    </w:p>
    <w:p w:rsidR="00735E53" w:rsidRDefault="00735E53" w:rsidP="00735E53">
      <w:pPr>
        <w:pStyle w:val="ListParagraph"/>
        <w:spacing w:after="0"/>
        <w:ind w:left="1080"/>
        <w:rPr>
          <w:b/>
          <w:u w:val="single"/>
        </w:rPr>
      </w:pPr>
    </w:p>
    <w:p w:rsidR="00735E53" w:rsidRPr="004A0B0C" w:rsidRDefault="00735E53" w:rsidP="00735E53">
      <w:pPr>
        <w:pStyle w:val="ListParagraph"/>
        <w:numPr>
          <w:ilvl w:val="0"/>
          <w:numId w:val="6"/>
        </w:numPr>
        <w:spacing w:after="200" w:line="240" w:lineRule="auto"/>
        <w:ind w:left="1080"/>
      </w:pPr>
      <w:r w:rsidRPr="004A0B0C">
        <w:rPr>
          <w:b/>
        </w:rPr>
        <w:t xml:space="preserve">Bad Debt Write-Offs - Insolvency of Sponsor and Failure to Pay </w:t>
      </w:r>
      <w:proofErr w:type="gramStart"/>
      <w:r>
        <w:t>will typically be treated</w:t>
      </w:r>
      <w:proofErr w:type="gramEnd"/>
      <w:r>
        <w:t xml:space="preserve"> as bad debt through generally accepted accounting principles.  </w:t>
      </w:r>
      <w:r w:rsidRPr="004A0B0C">
        <w:t xml:space="preserve">If a sponsor fails to pay for completed work that was properly invoiced, legal action </w:t>
      </w:r>
      <w:proofErr w:type="gramStart"/>
      <w:r w:rsidRPr="004A0B0C">
        <w:t>will be considered</w:t>
      </w:r>
      <w:proofErr w:type="gramEnd"/>
      <w:r w:rsidRPr="004A0B0C">
        <w:t xml:space="preserve">. Unrecovered costs associated with bad debt </w:t>
      </w:r>
      <w:proofErr w:type="gramStart"/>
      <w:r w:rsidRPr="004A0B0C">
        <w:t>will be funded</w:t>
      </w:r>
      <w:proofErr w:type="gramEnd"/>
      <w:r w:rsidRPr="004A0B0C">
        <w:t xml:space="preserve"> centrally. </w:t>
      </w:r>
      <w:r>
        <w:t>(see Administrative Write-off’s Process Doc</w:t>
      </w:r>
    </w:p>
    <w:p w:rsidR="00735E53" w:rsidRDefault="00735E53" w:rsidP="00735E53">
      <w:pPr>
        <w:pStyle w:val="ListParagraph"/>
      </w:pPr>
    </w:p>
    <w:p w:rsidR="00735E53" w:rsidRDefault="00735E53" w:rsidP="00735E53">
      <w:pPr>
        <w:pStyle w:val="ListParagraph"/>
        <w:ind w:left="1080"/>
      </w:pPr>
      <w:r w:rsidRPr="004A0B0C">
        <w:t xml:space="preserve">In order for a receivable to </w:t>
      </w:r>
      <w:proofErr w:type="gramStart"/>
      <w:r w:rsidRPr="004A0B0C">
        <w:t>be considered</w:t>
      </w:r>
      <w:proofErr w:type="gramEnd"/>
      <w:r w:rsidRPr="004A0B0C">
        <w:t xml:space="preserve"> as a bad debt write-off, the account must be sent to University Collections </w:t>
      </w:r>
      <w:r w:rsidRPr="004A0B0C">
        <w:rPr>
          <w:i/>
          <w:u w:val="single"/>
        </w:rPr>
        <w:t>and</w:t>
      </w:r>
      <w:r w:rsidRPr="004A0B0C">
        <w:t xml:space="preserve"> the account must have been expired for two years. Monthly, the SPS Senior Operations Manager will report potential bad debt write-offs to University Collections and SPS Director of Support</w:t>
      </w:r>
      <w:r>
        <w:t xml:space="preserve"> Services</w:t>
      </w:r>
      <w:r w:rsidRPr="004A0B0C">
        <w:t>.</w:t>
      </w:r>
      <w:r>
        <w:t xml:space="preserve"> </w:t>
      </w:r>
      <w:r w:rsidRPr="00A96CBB">
        <w:t xml:space="preserve">Bad Debt Write-Offs </w:t>
      </w:r>
      <w:proofErr w:type="gramStart"/>
      <w:r w:rsidRPr="00A96CBB">
        <w:t>are solicited</w:t>
      </w:r>
      <w:proofErr w:type="gramEnd"/>
      <w:r w:rsidRPr="00A96CBB">
        <w:t xml:space="preserve"> annually from the Comptroller’s office in June.  Sponsored program accounts that have been expired for 2 years as of 07/01/xx (current year) will be identified by the SPS Director of Post Award, reviewed with the Senior Director of SPS, and submitted to the Senior Vice President and Assistant Treasurer for approval.</w:t>
      </w:r>
    </w:p>
    <w:p w:rsidR="00735E53" w:rsidRPr="00BF4048" w:rsidRDefault="00735E53" w:rsidP="00735E53">
      <w:pPr>
        <w:pStyle w:val="ListParagraph"/>
        <w:ind w:left="1080"/>
      </w:pPr>
    </w:p>
    <w:p w:rsidR="00735E53" w:rsidRPr="004A0B0C" w:rsidRDefault="00735E53" w:rsidP="00735E53">
      <w:pPr>
        <w:pStyle w:val="ListParagraph"/>
        <w:numPr>
          <w:ilvl w:val="0"/>
          <w:numId w:val="6"/>
        </w:numPr>
        <w:spacing w:after="200" w:line="276" w:lineRule="auto"/>
        <w:ind w:left="1080"/>
        <w:rPr>
          <w:b/>
        </w:rPr>
      </w:pPr>
      <w:r w:rsidRPr="004A0B0C">
        <w:rPr>
          <w:b/>
        </w:rPr>
        <w:t xml:space="preserve">Other Circumstances - </w:t>
      </w:r>
      <w:r>
        <w:t xml:space="preserve">In the event of circumstances not previously described, </w:t>
      </w:r>
      <w:proofErr w:type="gramStart"/>
      <w:r>
        <w:t>a decision regarding any uncollected costs will be made by the Senior Director of Sponsored Program Services and Senior Vice President and Treasurer</w:t>
      </w:r>
      <w:proofErr w:type="gramEnd"/>
      <w:r>
        <w:t>, with input from the Comptroller and Department Head as appropriate.</w:t>
      </w:r>
    </w:p>
    <w:p w:rsidR="00735E53" w:rsidRDefault="00735E53" w:rsidP="002F17E1">
      <w:pPr>
        <w:rPr>
          <w:sz w:val="20"/>
          <w:szCs w:val="20"/>
        </w:rPr>
      </w:pPr>
      <w:bookmarkStart w:id="0" w:name="_GoBack"/>
      <w:bookmarkEnd w:id="0"/>
    </w:p>
    <w:sectPr w:rsidR="00735E53" w:rsidSect="0036776A">
      <w:headerReference w:type="default" r:id="rId8"/>
      <w:pgSz w:w="15840" w:h="12240" w:orient="landscape"/>
      <w:pgMar w:top="547" w:right="720" w:bottom="446"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B13" w:rsidRDefault="006F1B13" w:rsidP="00A10A1E">
      <w:pPr>
        <w:spacing w:after="0" w:line="240" w:lineRule="auto"/>
      </w:pPr>
      <w:r>
        <w:separator/>
      </w:r>
    </w:p>
  </w:endnote>
  <w:endnote w:type="continuationSeparator" w:id="0">
    <w:p w:rsidR="006F1B13" w:rsidRDefault="006F1B13" w:rsidP="00A10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B13" w:rsidRDefault="006F1B13" w:rsidP="00A10A1E">
      <w:pPr>
        <w:spacing w:after="0" w:line="240" w:lineRule="auto"/>
      </w:pPr>
      <w:r>
        <w:separator/>
      </w:r>
    </w:p>
  </w:footnote>
  <w:footnote w:type="continuationSeparator" w:id="0">
    <w:p w:rsidR="006F1B13" w:rsidRDefault="006F1B13" w:rsidP="00A10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A1E" w:rsidRDefault="00A10A1E">
    <w:pPr>
      <w:pStyle w:val="Header"/>
      <w:tabs>
        <w:tab w:val="clear" w:pos="4680"/>
        <w:tab w:val="clear" w:pos="9360"/>
      </w:tabs>
      <w:jc w:val="right"/>
      <w:rPr>
        <w:color w:val="7F7F7F" w:themeColor="text1" w:themeTint="80"/>
      </w:rPr>
    </w:pPr>
  </w:p>
  <w:p w:rsidR="00A10A1E" w:rsidRDefault="00A10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7D9"/>
    <w:multiLevelType w:val="hybridMultilevel"/>
    <w:tmpl w:val="83BA1810"/>
    <w:lvl w:ilvl="0" w:tplc="8654EA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01A17"/>
    <w:multiLevelType w:val="hybridMultilevel"/>
    <w:tmpl w:val="B6F677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C4E8C"/>
    <w:multiLevelType w:val="hybridMultilevel"/>
    <w:tmpl w:val="33467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CC4BF3"/>
    <w:multiLevelType w:val="hybridMultilevel"/>
    <w:tmpl w:val="5824B7FA"/>
    <w:lvl w:ilvl="0" w:tplc="C64CF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324FBD"/>
    <w:multiLevelType w:val="hybridMultilevel"/>
    <w:tmpl w:val="540A9466"/>
    <w:lvl w:ilvl="0" w:tplc="4FD060C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2C4096"/>
    <w:multiLevelType w:val="hybridMultilevel"/>
    <w:tmpl w:val="FC7A6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1E"/>
    <w:rsid w:val="0004025E"/>
    <w:rsid w:val="000523BB"/>
    <w:rsid w:val="00062FB2"/>
    <w:rsid w:val="0016759B"/>
    <w:rsid w:val="00186C90"/>
    <w:rsid w:val="001D3103"/>
    <w:rsid w:val="00242505"/>
    <w:rsid w:val="002F17E1"/>
    <w:rsid w:val="0036776A"/>
    <w:rsid w:val="00370F60"/>
    <w:rsid w:val="003A2378"/>
    <w:rsid w:val="003D6324"/>
    <w:rsid w:val="00460437"/>
    <w:rsid w:val="00484D16"/>
    <w:rsid w:val="004A2F3E"/>
    <w:rsid w:val="0056380B"/>
    <w:rsid w:val="00567236"/>
    <w:rsid w:val="00580520"/>
    <w:rsid w:val="00596658"/>
    <w:rsid w:val="005D3DAB"/>
    <w:rsid w:val="005E6FD5"/>
    <w:rsid w:val="0062276D"/>
    <w:rsid w:val="006F1B13"/>
    <w:rsid w:val="00735E53"/>
    <w:rsid w:val="00775F8D"/>
    <w:rsid w:val="00795A6B"/>
    <w:rsid w:val="007C4705"/>
    <w:rsid w:val="007C4A34"/>
    <w:rsid w:val="007F23AB"/>
    <w:rsid w:val="008851D2"/>
    <w:rsid w:val="00984850"/>
    <w:rsid w:val="00987A49"/>
    <w:rsid w:val="00992208"/>
    <w:rsid w:val="00A10A1E"/>
    <w:rsid w:val="00AC1ABB"/>
    <w:rsid w:val="00AC4A16"/>
    <w:rsid w:val="00B436AE"/>
    <w:rsid w:val="00BA7EB7"/>
    <w:rsid w:val="00C05310"/>
    <w:rsid w:val="00C3154E"/>
    <w:rsid w:val="00C740ED"/>
    <w:rsid w:val="00CF4B47"/>
    <w:rsid w:val="00D14113"/>
    <w:rsid w:val="00EB556E"/>
    <w:rsid w:val="00F25A27"/>
    <w:rsid w:val="00F7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E7C75"/>
  <w15:chartTrackingRefBased/>
  <w15:docId w15:val="{A2816ECE-25A2-42A7-9A1A-6A2F054A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A1E"/>
  </w:style>
  <w:style w:type="paragraph" w:styleId="Footer">
    <w:name w:val="footer"/>
    <w:basedOn w:val="Normal"/>
    <w:link w:val="FooterChar"/>
    <w:uiPriority w:val="99"/>
    <w:unhideWhenUsed/>
    <w:rsid w:val="00A10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A1E"/>
  </w:style>
  <w:style w:type="table" w:styleId="TableGrid">
    <w:name w:val="Table Grid"/>
    <w:basedOn w:val="TableNormal"/>
    <w:uiPriority w:val="39"/>
    <w:rsid w:val="00A10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EB7"/>
    <w:pPr>
      <w:ind w:left="720"/>
      <w:contextualSpacing/>
    </w:pPr>
  </w:style>
  <w:style w:type="paragraph" w:styleId="BalloonText">
    <w:name w:val="Balloon Text"/>
    <w:basedOn w:val="Normal"/>
    <w:link w:val="BalloonTextChar"/>
    <w:uiPriority w:val="99"/>
    <w:semiHidden/>
    <w:unhideWhenUsed/>
    <w:rsid w:val="00242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7DF64-1602-4A8C-95E5-1C7C065D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4/4/2016</vt:lpstr>
    </vt:vector>
  </TitlesOfParts>
  <Company>Purdue University</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4/4/2016</dc:title>
  <dc:subject/>
  <dc:creator>Sweet, Megan Ann</dc:creator>
  <cp:keywords/>
  <dc:description/>
  <cp:lastModifiedBy>Corwin, Susan M</cp:lastModifiedBy>
  <cp:revision>3</cp:revision>
  <cp:lastPrinted>2018-11-06T12:25:00Z</cp:lastPrinted>
  <dcterms:created xsi:type="dcterms:W3CDTF">2018-11-06T14:52:00Z</dcterms:created>
  <dcterms:modified xsi:type="dcterms:W3CDTF">2019-05-07T12:53:00Z</dcterms:modified>
</cp:coreProperties>
</file>